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C59C" w14:textId="77777777" w:rsidR="00157863" w:rsidRPr="00157863" w:rsidRDefault="00157863" w:rsidP="00157863">
      <w:r w:rsidRPr="00157863">
        <w:rPr>
          <w:b/>
          <w:bCs/>
        </w:rPr>
        <w:t xml:space="preserve">Enzyme immobilisation as a central tool in flow biocatalysis </w:t>
      </w:r>
    </w:p>
    <w:p w14:paraId="3C3FD7BA" w14:textId="77777777" w:rsidR="00157863" w:rsidRPr="00157863" w:rsidRDefault="00157863" w:rsidP="00157863"/>
    <w:p w14:paraId="7843BD54" w14:textId="77777777" w:rsidR="00157863" w:rsidRPr="00157863" w:rsidRDefault="00157863" w:rsidP="00157863">
      <w:r w:rsidRPr="00157863">
        <w:t xml:space="preserve">Sebastian C. Cosgrove </w:t>
      </w:r>
    </w:p>
    <w:p w14:paraId="59C339A6" w14:textId="77777777" w:rsidR="00157863" w:rsidRPr="00157863" w:rsidRDefault="00157863" w:rsidP="00157863">
      <w:r w:rsidRPr="00157863">
        <w:t xml:space="preserve">Centre for </w:t>
      </w:r>
      <w:proofErr w:type="spellStart"/>
      <w:r w:rsidRPr="00157863">
        <w:t>Glycoscience</w:t>
      </w:r>
      <w:proofErr w:type="spellEnd"/>
      <w:r w:rsidRPr="00157863">
        <w:t xml:space="preserve"> Research and School of Chemical &amp; Physical Sciences, Keele University, Keele, Staffordshire, ST5 5BG </w:t>
      </w:r>
    </w:p>
    <w:p w14:paraId="31877224" w14:textId="77777777" w:rsidR="00157863" w:rsidRPr="00157863" w:rsidRDefault="00157863" w:rsidP="00157863">
      <w:r w:rsidRPr="00157863">
        <w:t xml:space="preserve">Email: </w:t>
      </w:r>
      <w:hyperlink r:id="rId4" w:history="1">
        <w:r w:rsidRPr="00157863">
          <w:rPr>
            <w:rStyle w:val="Hyperlink"/>
          </w:rPr>
          <w:t>s.cosgrove@keele.ac.uk</w:t>
        </w:r>
      </w:hyperlink>
      <w:r w:rsidRPr="00157863">
        <w:t xml:space="preserve"> </w:t>
      </w:r>
    </w:p>
    <w:p w14:paraId="3432AAF1" w14:textId="77777777" w:rsidR="00157863" w:rsidRPr="00157863" w:rsidRDefault="00157863" w:rsidP="00157863"/>
    <w:p w14:paraId="16D4AD8E" w14:textId="77777777" w:rsidR="00157863" w:rsidRPr="00157863" w:rsidRDefault="00157863" w:rsidP="00157863">
      <w:r w:rsidRPr="00157863">
        <w:rPr>
          <w:b/>
          <w:bCs/>
        </w:rPr>
        <w:t>Abstract:</w:t>
      </w:r>
      <w:r w:rsidRPr="00157863">
        <w:t xml:space="preserve"> Enzyme immobilisation is a mature discipline, with applications ranging from the pharmaceutical industry to bioremediation.</w:t>
      </w:r>
      <w:r w:rsidRPr="00157863">
        <w:rPr>
          <w:vertAlign w:val="superscript"/>
        </w:rPr>
        <w:t>1</w:t>
      </w:r>
      <w:r w:rsidRPr="00157863">
        <w:t xml:space="preserve"> It is key to enabling continuous biocatalytic systems.</w:t>
      </w:r>
      <w:r w:rsidRPr="00157863">
        <w:rPr>
          <w:vertAlign w:val="superscript"/>
        </w:rPr>
        <w:t>2</w:t>
      </w:r>
      <w:r w:rsidRPr="00157863">
        <w:t xml:space="preserve"> Our group has applied a range of immobilised enzymes towards several flow systems, including multi-stage continuous biocatalytic cascades,</w:t>
      </w:r>
      <w:r w:rsidRPr="00157863">
        <w:rPr>
          <w:vertAlign w:val="superscript"/>
        </w:rPr>
        <w:t>3</w:t>
      </w:r>
      <w:r w:rsidRPr="00157863">
        <w:t xml:space="preserve"> continuous extraction and aqueous recycling systems,</w:t>
      </w:r>
      <w:r w:rsidRPr="00157863">
        <w:rPr>
          <w:vertAlign w:val="superscript"/>
        </w:rPr>
        <w:t>4</w:t>
      </w:r>
      <w:r w:rsidRPr="00157863">
        <w:t xml:space="preserve"> and carbohydrate acid active biocatalysts (</w:t>
      </w:r>
      <w:r w:rsidRPr="00157863">
        <w:rPr>
          <w:i/>
          <w:iCs/>
        </w:rPr>
        <w:t>unpublished</w:t>
      </w:r>
      <w:r w:rsidRPr="00157863">
        <w:t xml:space="preserve">). </w:t>
      </w:r>
    </w:p>
    <w:p w14:paraId="7812D76E" w14:textId="77777777" w:rsidR="00157863" w:rsidRPr="00157863" w:rsidRDefault="00157863" w:rsidP="00157863"/>
    <w:p w14:paraId="05DF95AB" w14:textId="28484BD0" w:rsidR="00157863" w:rsidRPr="00157863" w:rsidRDefault="00157863" w:rsidP="00157863">
      <w:r w:rsidRPr="00157863">
        <w:drawing>
          <wp:inline distT="0" distB="0" distL="0" distR="0" wp14:anchorId="1D94B274" wp14:editId="590FFD78">
            <wp:extent cx="3600450" cy="819150"/>
            <wp:effectExtent l="0" t="0" r="0" b="0"/>
            <wp:docPr id="569276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600450" cy="819150"/>
                    </a:xfrm>
                    <a:prstGeom prst="rect">
                      <a:avLst/>
                    </a:prstGeom>
                    <a:noFill/>
                    <a:ln>
                      <a:noFill/>
                    </a:ln>
                  </pic:spPr>
                </pic:pic>
              </a:graphicData>
            </a:graphic>
          </wp:inline>
        </w:drawing>
      </w:r>
    </w:p>
    <w:p w14:paraId="6D7D7A97" w14:textId="77777777" w:rsidR="00157863" w:rsidRPr="00157863" w:rsidRDefault="00157863" w:rsidP="00157863"/>
    <w:p w14:paraId="01D4D8E9" w14:textId="77777777" w:rsidR="00157863" w:rsidRPr="00157863" w:rsidRDefault="00157863" w:rsidP="00157863">
      <w:r w:rsidRPr="00157863">
        <w:t xml:space="preserve">This talk will discuss some of these approaches, including multistage enzymatic reactions which are not possible under batch conditions, and how continuous reactor operations can allow for substantially improved reaction performance. It will showcase how process design and immobilisation can afford new operating windows for biocatalysis moving </w:t>
      </w:r>
      <w:proofErr w:type="gramStart"/>
      <w:r w:rsidRPr="00157863">
        <w:t>forward, and</w:t>
      </w:r>
      <w:proofErr w:type="gramEnd"/>
      <w:r w:rsidRPr="00157863">
        <w:t xml:space="preserve"> also discuss our effort towards designing new scaffolds for enzyme immobilisation. </w:t>
      </w:r>
    </w:p>
    <w:p w14:paraId="5D922567" w14:textId="77777777" w:rsidR="00157863" w:rsidRPr="00157863" w:rsidRDefault="00157863" w:rsidP="00157863"/>
    <w:p w14:paraId="4AB1DA8E" w14:textId="77777777" w:rsidR="00157863" w:rsidRPr="00157863" w:rsidRDefault="00157863" w:rsidP="00157863">
      <w:pPr>
        <w:rPr>
          <w:b/>
          <w:bCs/>
        </w:rPr>
      </w:pPr>
      <w:r w:rsidRPr="00157863">
        <w:rPr>
          <w:b/>
          <w:bCs/>
        </w:rPr>
        <w:t>References:</w:t>
      </w:r>
    </w:p>
    <w:p w14:paraId="241A46EA" w14:textId="77777777" w:rsidR="00157863" w:rsidRPr="00157863" w:rsidRDefault="00157863" w:rsidP="00157863">
      <w:r w:rsidRPr="00157863">
        <w:t xml:space="preserve">1 R. A. Sheldon and S. van Pelt, </w:t>
      </w:r>
      <w:r w:rsidRPr="00157863">
        <w:rPr>
          <w:i/>
          <w:iCs/>
        </w:rPr>
        <w:t>Chem. Soc. Rev.</w:t>
      </w:r>
      <w:r w:rsidRPr="00157863">
        <w:t xml:space="preserve">, 2013, 42, 6223–6235. </w:t>
      </w:r>
    </w:p>
    <w:p w14:paraId="1F1F43DF" w14:textId="77777777" w:rsidR="00157863" w:rsidRPr="00157863" w:rsidRDefault="00157863" w:rsidP="00157863">
      <w:r w:rsidRPr="00157863">
        <w:t xml:space="preserve">2 J. Britton, G. A. Weiss and J. Britton, </w:t>
      </w:r>
      <w:r w:rsidRPr="00157863">
        <w:rPr>
          <w:i/>
          <w:iCs/>
        </w:rPr>
        <w:t>Chem. Soc. Rev.</w:t>
      </w:r>
      <w:r w:rsidRPr="00157863">
        <w:t xml:space="preserve">, 2018, 47, 5891–5918. </w:t>
      </w:r>
    </w:p>
    <w:p w14:paraId="0D7B72B8" w14:textId="77777777" w:rsidR="00157863" w:rsidRPr="00157863" w:rsidRDefault="00157863" w:rsidP="00157863">
      <w:r w:rsidRPr="00157863">
        <w:t xml:space="preserve">3 A. P. Mattey, G. J. Ford, J. </w:t>
      </w:r>
      <w:proofErr w:type="spellStart"/>
      <w:r w:rsidRPr="00157863">
        <w:t>Citoler</w:t>
      </w:r>
      <w:proofErr w:type="spellEnd"/>
      <w:r w:rsidRPr="00157863">
        <w:t xml:space="preserve">, C. Baldwin, J. R. Marshall, R. B. Palmer, M. Thompson, N. J. Turner, S. C. Cosgrove and S. L. Flitsch, </w:t>
      </w:r>
      <w:proofErr w:type="spellStart"/>
      <w:r w:rsidRPr="00157863">
        <w:rPr>
          <w:i/>
          <w:iCs/>
        </w:rPr>
        <w:t>Angew</w:t>
      </w:r>
      <w:proofErr w:type="spellEnd"/>
      <w:r w:rsidRPr="00157863">
        <w:rPr>
          <w:i/>
          <w:iCs/>
        </w:rPr>
        <w:t>. Chem. Int. Ed.</w:t>
      </w:r>
      <w:r w:rsidRPr="00157863">
        <w:t xml:space="preserve">, 2021, 60, 18660–18665. </w:t>
      </w:r>
    </w:p>
    <w:p w14:paraId="53ECB2DE" w14:textId="77777777" w:rsidR="00157863" w:rsidRPr="00157863" w:rsidRDefault="00157863" w:rsidP="00157863">
      <w:r w:rsidRPr="00157863">
        <w:t xml:space="preserve">4 S. C. Cosgrove, G. J. Miller, A. </w:t>
      </w:r>
      <w:proofErr w:type="spellStart"/>
      <w:r w:rsidRPr="00157863">
        <w:t>Bornadel</w:t>
      </w:r>
      <w:proofErr w:type="spellEnd"/>
      <w:r w:rsidRPr="00157863">
        <w:t xml:space="preserve"> and B. Dominguez, </w:t>
      </w:r>
      <w:r w:rsidRPr="00157863">
        <w:rPr>
          <w:i/>
          <w:iCs/>
        </w:rPr>
        <w:t>ACS Sustain. Chem. Eng.</w:t>
      </w:r>
      <w:r w:rsidRPr="00157863">
        <w:t>, 2023, 11, 8556–8561.  </w:t>
      </w:r>
    </w:p>
    <w:p w14:paraId="08280CE4" w14:textId="77777777" w:rsidR="00882A41" w:rsidRPr="00157863" w:rsidRDefault="00882A41" w:rsidP="00157863"/>
    <w:sectPr w:rsidR="00882A41" w:rsidRPr="00157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63"/>
    <w:rsid w:val="00157863"/>
    <w:rsid w:val="00882A41"/>
    <w:rsid w:val="009202E9"/>
    <w:rsid w:val="00C7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016D"/>
  <w15:chartTrackingRefBased/>
  <w15:docId w15:val="{D348CBEA-FA0D-41B0-B974-60699877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8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863"/>
    <w:rPr>
      <w:rFonts w:eastAsiaTheme="majorEastAsia" w:cstheme="majorBidi"/>
      <w:color w:val="272727" w:themeColor="text1" w:themeTint="D8"/>
    </w:rPr>
  </w:style>
  <w:style w:type="paragraph" w:styleId="Title">
    <w:name w:val="Title"/>
    <w:basedOn w:val="Normal"/>
    <w:next w:val="Normal"/>
    <w:link w:val="TitleChar"/>
    <w:uiPriority w:val="10"/>
    <w:qFormat/>
    <w:rsid w:val="00157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863"/>
    <w:pPr>
      <w:spacing w:before="160"/>
      <w:jc w:val="center"/>
    </w:pPr>
    <w:rPr>
      <w:i/>
      <w:iCs/>
      <w:color w:val="404040" w:themeColor="text1" w:themeTint="BF"/>
    </w:rPr>
  </w:style>
  <w:style w:type="character" w:customStyle="1" w:styleId="QuoteChar">
    <w:name w:val="Quote Char"/>
    <w:basedOn w:val="DefaultParagraphFont"/>
    <w:link w:val="Quote"/>
    <w:uiPriority w:val="29"/>
    <w:rsid w:val="00157863"/>
    <w:rPr>
      <w:i/>
      <w:iCs/>
      <w:color w:val="404040" w:themeColor="text1" w:themeTint="BF"/>
    </w:rPr>
  </w:style>
  <w:style w:type="paragraph" w:styleId="ListParagraph">
    <w:name w:val="List Paragraph"/>
    <w:basedOn w:val="Normal"/>
    <w:uiPriority w:val="34"/>
    <w:qFormat/>
    <w:rsid w:val="00157863"/>
    <w:pPr>
      <w:ind w:left="720"/>
      <w:contextualSpacing/>
    </w:pPr>
  </w:style>
  <w:style w:type="character" w:styleId="IntenseEmphasis">
    <w:name w:val="Intense Emphasis"/>
    <w:basedOn w:val="DefaultParagraphFont"/>
    <w:uiPriority w:val="21"/>
    <w:qFormat/>
    <w:rsid w:val="00157863"/>
    <w:rPr>
      <w:i/>
      <w:iCs/>
      <w:color w:val="0F4761" w:themeColor="accent1" w:themeShade="BF"/>
    </w:rPr>
  </w:style>
  <w:style w:type="paragraph" w:styleId="IntenseQuote">
    <w:name w:val="Intense Quote"/>
    <w:basedOn w:val="Normal"/>
    <w:next w:val="Normal"/>
    <w:link w:val="IntenseQuoteChar"/>
    <w:uiPriority w:val="30"/>
    <w:qFormat/>
    <w:rsid w:val="00157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863"/>
    <w:rPr>
      <w:i/>
      <w:iCs/>
      <w:color w:val="0F4761" w:themeColor="accent1" w:themeShade="BF"/>
    </w:rPr>
  </w:style>
  <w:style w:type="character" w:styleId="IntenseReference">
    <w:name w:val="Intense Reference"/>
    <w:basedOn w:val="DefaultParagraphFont"/>
    <w:uiPriority w:val="32"/>
    <w:qFormat/>
    <w:rsid w:val="00157863"/>
    <w:rPr>
      <w:b/>
      <w:bCs/>
      <w:smallCaps/>
      <w:color w:val="0F4761" w:themeColor="accent1" w:themeShade="BF"/>
      <w:spacing w:val="5"/>
    </w:rPr>
  </w:style>
  <w:style w:type="character" w:styleId="Hyperlink">
    <w:name w:val="Hyperlink"/>
    <w:basedOn w:val="DefaultParagraphFont"/>
    <w:uiPriority w:val="99"/>
    <w:unhideWhenUsed/>
    <w:rsid w:val="00157863"/>
    <w:rPr>
      <w:color w:val="467886" w:themeColor="hyperlink"/>
      <w:u w:val="single"/>
    </w:rPr>
  </w:style>
  <w:style w:type="character" w:styleId="UnresolvedMention">
    <w:name w:val="Unresolved Mention"/>
    <w:basedOn w:val="DefaultParagraphFont"/>
    <w:uiPriority w:val="99"/>
    <w:semiHidden/>
    <w:unhideWhenUsed/>
    <w:rsid w:val="0015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87275">
      <w:bodyDiv w:val="1"/>
      <w:marLeft w:val="0"/>
      <w:marRight w:val="0"/>
      <w:marTop w:val="0"/>
      <w:marBottom w:val="0"/>
      <w:divBdr>
        <w:top w:val="none" w:sz="0" w:space="0" w:color="auto"/>
        <w:left w:val="none" w:sz="0" w:space="0" w:color="auto"/>
        <w:bottom w:val="none" w:sz="0" w:space="0" w:color="auto"/>
        <w:right w:val="none" w:sz="0" w:space="0" w:color="auto"/>
      </w:divBdr>
    </w:div>
    <w:div w:id="14801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B6829.649229D0" TargetMode="External"/><Relationship Id="rId5" Type="http://schemas.openxmlformats.org/officeDocument/2006/relationships/image" Target="media/image1.png"/><Relationship Id="rId4" Type="http://schemas.openxmlformats.org/officeDocument/2006/relationships/hyperlink" Target="mailto:s.cosgrove@kee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Angie</dc:creator>
  <cp:keywords/>
  <dc:description/>
  <cp:lastModifiedBy>Boyles, Angie</cp:lastModifiedBy>
  <cp:revision>1</cp:revision>
  <dcterms:created xsi:type="dcterms:W3CDTF">2025-01-20T10:55:00Z</dcterms:created>
  <dcterms:modified xsi:type="dcterms:W3CDTF">2025-01-20T10:56:00Z</dcterms:modified>
</cp:coreProperties>
</file>