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E9FE" w14:textId="748E7A0A" w:rsidR="00CD4E76" w:rsidRPr="00BD2C59" w:rsidRDefault="008A383D" w:rsidP="00615BDC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BD2C59">
        <w:rPr>
          <w:rFonts w:ascii="Times New Roman" w:hAnsi="Times New Roman"/>
          <w:b/>
          <w:szCs w:val="24"/>
        </w:rPr>
        <w:t xml:space="preserve">New </w:t>
      </w:r>
      <w:r w:rsidR="00014BEF" w:rsidRPr="00BD2C59">
        <w:rPr>
          <w:rFonts w:ascii="Times New Roman" w:hAnsi="Times New Roman"/>
          <w:b/>
          <w:szCs w:val="24"/>
        </w:rPr>
        <w:t>Molecular Tracers for the</w:t>
      </w:r>
      <w:r w:rsidR="00DC0462">
        <w:rPr>
          <w:rFonts w:ascii="Times New Roman" w:hAnsi="Times New Roman"/>
          <w:b/>
          <w:szCs w:val="24"/>
        </w:rPr>
        <w:t xml:space="preserve"> PET and SPECT</w:t>
      </w:r>
      <w:r w:rsidR="00014BEF" w:rsidRPr="00BD2C59">
        <w:rPr>
          <w:rFonts w:ascii="Times New Roman" w:hAnsi="Times New Roman"/>
          <w:b/>
          <w:szCs w:val="24"/>
        </w:rPr>
        <w:t xml:space="preserve"> Imaging of Disease</w:t>
      </w:r>
    </w:p>
    <w:p w14:paraId="1F015B0A" w14:textId="77777777" w:rsidR="00615BDC" w:rsidRPr="00BD2C59" w:rsidRDefault="00615BDC" w:rsidP="00615BD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20E5717" w14:textId="11A2350A" w:rsidR="00CD4E76" w:rsidRPr="006D606F" w:rsidRDefault="00615BDC" w:rsidP="006D606F">
      <w:pPr>
        <w:jc w:val="center"/>
        <w:rPr>
          <w:rFonts w:ascii="Times New Roman" w:hAnsi="Times New Roman"/>
          <w:sz w:val="22"/>
          <w:szCs w:val="22"/>
          <w:lang w:val="sv-SE"/>
        </w:rPr>
      </w:pPr>
      <w:r w:rsidRPr="006D606F">
        <w:rPr>
          <w:rFonts w:ascii="Times New Roman" w:hAnsi="Times New Roman"/>
          <w:sz w:val="22"/>
          <w:szCs w:val="22"/>
          <w:lang w:val="sv-SE"/>
        </w:rPr>
        <w:t>Andrew Sutherland</w:t>
      </w:r>
    </w:p>
    <w:p w14:paraId="241534F0" w14:textId="77777777" w:rsidR="00014BEF" w:rsidRPr="00BD2C59" w:rsidRDefault="00014BEF" w:rsidP="006D606F">
      <w:pPr>
        <w:jc w:val="both"/>
        <w:rPr>
          <w:rFonts w:ascii="Times New Roman" w:hAnsi="Times New Roman"/>
          <w:b/>
          <w:sz w:val="22"/>
          <w:szCs w:val="22"/>
          <w:lang w:val="sv-SE"/>
        </w:rPr>
      </w:pPr>
    </w:p>
    <w:p w14:paraId="5C47CF4B" w14:textId="77777777" w:rsidR="006D606F" w:rsidRDefault="00615BDC" w:rsidP="006D606F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BD2C59">
        <w:rPr>
          <w:rFonts w:ascii="Times New Roman" w:hAnsi="Times New Roman"/>
          <w:sz w:val="22"/>
          <w:szCs w:val="22"/>
        </w:rPr>
        <w:t>WestCHEM</w:t>
      </w:r>
      <w:proofErr w:type="spellEnd"/>
      <w:r w:rsidRPr="00BD2C59">
        <w:rPr>
          <w:rFonts w:ascii="Times New Roman" w:hAnsi="Times New Roman"/>
          <w:sz w:val="22"/>
          <w:szCs w:val="22"/>
        </w:rPr>
        <w:t xml:space="preserve">, </w:t>
      </w:r>
      <w:r w:rsidR="00CD4E76" w:rsidRPr="00BD2C59">
        <w:rPr>
          <w:rFonts w:ascii="Times New Roman" w:hAnsi="Times New Roman"/>
          <w:sz w:val="22"/>
          <w:szCs w:val="22"/>
        </w:rPr>
        <w:t>School of Che</w:t>
      </w:r>
      <w:r w:rsidRPr="00BD2C59">
        <w:rPr>
          <w:rFonts w:ascii="Times New Roman" w:hAnsi="Times New Roman"/>
          <w:sz w:val="22"/>
          <w:szCs w:val="22"/>
        </w:rPr>
        <w:t>mistry, The Joseph Black Building, University of Glasgow</w:t>
      </w:r>
      <w:r w:rsidR="006D606F">
        <w:rPr>
          <w:rFonts w:ascii="Times New Roman" w:hAnsi="Times New Roman"/>
          <w:sz w:val="22"/>
          <w:szCs w:val="22"/>
        </w:rPr>
        <w:t>,</w:t>
      </w:r>
    </w:p>
    <w:p w14:paraId="3CA61EEC" w14:textId="75F8634A" w:rsidR="00CD4E76" w:rsidRPr="00BD2C59" w:rsidRDefault="00615BDC" w:rsidP="006D606F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BD2C59">
        <w:rPr>
          <w:rFonts w:ascii="Times New Roman" w:hAnsi="Times New Roman"/>
          <w:sz w:val="22"/>
          <w:szCs w:val="22"/>
        </w:rPr>
        <w:t>Glasgow, G12 8QQ</w:t>
      </w:r>
      <w:r w:rsidR="000F25DB" w:rsidRPr="00BD2C59">
        <w:rPr>
          <w:rFonts w:ascii="Times New Roman" w:hAnsi="Times New Roman"/>
          <w:sz w:val="22"/>
          <w:szCs w:val="22"/>
        </w:rPr>
        <w:t>,</w:t>
      </w:r>
      <w:r w:rsidR="00CE794D">
        <w:rPr>
          <w:rFonts w:ascii="Times New Roman" w:hAnsi="Times New Roman"/>
          <w:sz w:val="22"/>
          <w:szCs w:val="22"/>
        </w:rPr>
        <w:t xml:space="preserve"> UK.</w:t>
      </w:r>
      <w:r w:rsidR="006D606F">
        <w:rPr>
          <w:rFonts w:ascii="Times New Roman" w:hAnsi="Times New Roman"/>
          <w:sz w:val="22"/>
          <w:szCs w:val="22"/>
        </w:rPr>
        <w:t xml:space="preserve"> E</w:t>
      </w:r>
      <w:r w:rsidR="003863F1" w:rsidRPr="00BD2C59">
        <w:rPr>
          <w:rFonts w:ascii="Times New Roman" w:hAnsi="Times New Roman"/>
          <w:sz w:val="22"/>
          <w:szCs w:val="22"/>
        </w:rPr>
        <w:t>mail:</w:t>
      </w:r>
      <w:r w:rsidRPr="00BD2C59">
        <w:rPr>
          <w:rFonts w:ascii="Times New Roman" w:hAnsi="Times New Roman"/>
          <w:sz w:val="22"/>
          <w:szCs w:val="22"/>
        </w:rPr>
        <w:t xml:space="preserve"> Andrew.Sutherland@glasgow.ac.uk</w:t>
      </w:r>
      <w:r w:rsidR="003863F1" w:rsidRPr="00BD2C59">
        <w:rPr>
          <w:rFonts w:ascii="Times New Roman" w:hAnsi="Times New Roman"/>
          <w:sz w:val="22"/>
          <w:szCs w:val="22"/>
        </w:rPr>
        <w:t>.</w:t>
      </w:r>
    </w:p>
    <w:p w14:paraId="2D920B36" w14:textId="77777777" w:rsidR="00014BEF" w:rsidRPr="00BD2C59" w:rsidRDefault="00014BEF" w:rsidP="006D606F">
      <w:pPr>
        <w:jc w:val="both"/>
        <w:rPr>
          <w:rFonts w:ascii="Times New Roman" w:hAnsi="Times New Roman"/>
          <w:sz w:val="22"/>
          <w:szCs w:val="22"/>
        </w:rPr>
      </w:pPr>
    </w:p>
    <w:p w14:paraId="6ABC1F82" w14:textId="113C40F5" w:rsidR="00F82816" w:rsidRDefault="00014BEF" w:rsidP="00F82816">
      <w:pPr>
        <w:pStyle w:val="RSCB02ArticleText"/>
        <w:spacing w:line="276" w:lineRule="auto"/>
        <w:rPr>
          <w:rFonts w:ascii="Times New Roman" w:hAnsi="Times New Roman"/>
          <w:sz w:val="22"/>
          <w:szCs w:val="22"/>
        </w:rPr>
      </w:pPr>
      <w:r w:rsidRPr="00F82816">
        <w:rPr>
          <w:rFonts w:ascii="Times New Roman" w:hAnsi="Times New Roman"/>
          <w:sz w:val="22"/>
          <w:szCs w:val="22"/>
        </w:rPr>
        <w:t>In the last two decades, the radionuclide techniques of positron emission tomography (PET) and single photon emission computed tomography (SPECT) have had a significant impact on many aspects of healthcare.</w:t>
      </w:r>
      <w:r w:rsidRPr="00F82816">
        <w:rPr>
          <w:rFonts w:ascii="Times New Roman" w:hAnsi="Times New Roman"/>
          <w:sz w:val="22"/>
          <w:szCs w:val="22"/>
          <w:vertAlign w:val="superscript"/>
        </w:rPr>
        <w:t>1</w:t>
      </w:r>
      <w:r w:rsidRPr="00F82816">
        <w:rPr>
          <w:rFonts w:ascii="Times New Roman" w:hAnsi="Times New Roman"/>
          <w:sz w:val="22"/>
          <w:szCs w:val="22"/>
        </w:rPr>
        <w:t xml:space="preserve"> They are used routinely for the diagnosis and prognosis of many diseases and are involved in var</w:t>
      </w:r>
      <w:r w:rsidR="00025C2E" w:rsidRPr="00F82816">
        <w:rPr>
          <w:rFonts w:ascii="Times New Roman" w:hAnsi="Times New Roman"/>
          <w:sz w:val="22"/>
          <w:szCs w:val="22"/>
        </w:rPr>
        <w:t>ious stages of drug development</w:t>
      </w:r>
      <w:r w:rsidRPr="00F82816">
        <w:rPr>
          <w:rFonts w:ascii="Times New Roman" w:hAnsi="Times New Roman"/>
          <w:sz w:val="22"/>
          <w:szCs w:val="22"/>
        </w:rPr>
        <w:t xml:space="preserve">. </w:t>
      </w:r>
      <w:r w:rsidR="00E32406" w:rsidRPr="00F82816">
        <w:rPr>
          <w:rFonts w:ascii="Times New Roman" w:hAnsi="Times New Roman"/>
          <w:sz w:val="22"/>
          <w:szCs w:val="22"/>
        </w:rPr>
        <w:t>With an ageing population, new molecular tracers and radiopharmaceuticals have the potential to play a key role in under</w:t>
      </w:r>
      <w:r w:rsidR="00CE794D" w:rsidRPr="00F82816">
        <w:rPr>
          <w:rFonts w:ascii="Times New Roman" w:hAnsi="Times New Roman"/>
          <w:sz w:val="22"/>
          <w:szCs w:val="22"/>
        </w:rPr>
        <w:t xml:space="preserve">standing age-related illnesses such as </w:t>
      </w:r>
      <w:r w:rsidR="00E32406" w:rsidRPr="00F82816">
        <w:rPr>
          <w:rFonts w:ascii="Times New Roman" w:hAnsi="Times New Roman"/>
          <w:sz w:val="22"/>
          <w:szCs w:val="22"/>
        </w:rPr>
        <w:t>can</w:t>
      </w:r>
      <w:r w:rsidR="00CE794D" w:rsidRPr="00F82816">
        <w:rPr>
          <w:rFonts w:ascii="Times New Roman" w:hAnsi="Times New Roman"/>
          <w:sz w:val="22"/>
          <w:szCs w:val="22"/>
        </w:rPr>
        <w:t>cer, heart disease and dementia</w:t>
      </w:r>
      <w:r w:rsidR="00E32406" w:rsidRPr="00F82816">
        <w:rPr>
          <w:rFonts w:ascii="Times New Roman" w:hAnsi="Times New Roman"/>
          <w:sz w:val="22"/>
          <w:szCs w:val="22"/>
        </w:rPr>
        <w:t>.</w:t>
      </w:r>
      <w:r w:rsidR="00BD2C59" w:rsidRPr="00F82816">
        <w:rPr>
          <w:rFonts w:ascii="Times New Roman" w:hAnsi="Times New Roman"/>
          <w:sz w:val="22"/>
          <w:szCs w:val="22"/>
        </w:rPr>
        <w:t xml:space="preserve"> However, a number of </w:t>
      </w:r>
      <w:r w:rsidR="00025C2E" w:rsidRPr="00F82816">
        <w:rPr>
          <w:rFonts w:ascii="Times New Roman" w:hAnsi="Times New Roman"/>
          <w:sz w:val="22"/>
          <w:szCs w:val="22"/>
        </w:rPr>
        <w:t>limitations associated with these technologies still exist, including</w:t>
      </w:r>
      <w:r w:rsidR="00BD2C59" w:rsidRPr="00F82816">
        <w:rPr>
          <w:rFonts w:ascii="Times New Roman" w:hAnsi="Times New Roman"/>
          <w:sz w:val="22"/>
          <w:szCs w:val="22"/>
        </w:rPr>
        <w:t xml:space="preserve"> the discovery of new imaging agents that can bind with high affinity and specificity to key biological targets and the development of novel, non-toxic and efficient methods for the </w:t>
      </w:r>
      <w:r w:rsidR="00025C2E" w:rsidRPr="00F82816">
        <w:rPr>
          <w:rFonts w:ascii="Times New Roman" w:hAnsi="Times New Roman"/>
          <w:sz w:val="22"/>
          <w:szCs w:val="22"/>
        </w:rPr>
        <w:t>preparation</w:t>
      </w:r>
      <w:r w:rsidR="00BD2C59" w:rsidRPr="00F82816">
        <w:rPr>
          <w:rFonts w:ascii="Times New Roman" w:hAnsi="Times New Roman"/>
          <w:sz w:val="22"/>
          <w:szCs w:val="22"/>
        </w:rPr>
        <w:t xml:space="preserve"> of PET and SPECT imaging agents.</w:t>
      </w:r>
      <w:r w:rsidR="00025C2E" w:rsidRPr="00F82816">
        <w:rPr>
          <w:rFonts w:ascii="Times New Roman" w:hAnsi="Times New Roman"/>
          <w:sz w:val="22"/>
          <w:szCs w:val="22"/>
        </w:rPr>
        <w:t xml:space="preserve"> </w:t>
      </w:r>
    </w:p>
    <w:p w14:paraId="6FC481FD" w14:textId="54F69F54" w:rsidR="00BD2C59" w:rsidRPr="00F82816" w:rsidRDefault="0095581C" w:rsidP="00F82816">
      <w:pPr>
        <w:pStyle w:val="RSCB02ArticleText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2DF24F42" wp14:editId="0075693C">
            <wp:simplePos x="0" y="0"/>
            <wp:positionH relativeFrom="column">
              <wp:posOffset>2400300</wp:posOffset>
            </wp:positionH>
            <wp:positionV relativeFrom="paragraph">
              <wp:posOffset>2957195</wp:posOffset>
            </wp:positionV>
            <wp:extent cx="3484245" cy="10287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2B919" wp14:editId="144B2C3D">
            <wp:simplePos x="0" y="0"/>
            <wp:positionH relativeFrom="column">
              <wp:posOffset>3200400</wp:posOffset>
            </wp:positionH>
            <wp:positionV relativeFrom="paragraph">
              <wp:posOffset>442595</wp:posOffset>
            </wp:positionV>
            <wp:extent cx="2686685" cy="1485900"/>
            <wp:effectExtent l="0" t="0" r="571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816">
        <w:rPr>
          <w:rFonts w:ascii="Times New Roman" w:hAnsi="Times New Roman"/>
          <w:sz w:val="22"/>
          <w:szCs w:val="22"/>
        </w:rPr>
        <w:tab/>
      </w:r>
      <w:r w:rsidR="00025C2E" w:rsidRPr="00F82816">
        <w:rPr>
          <w:rFonts w:ascii="Times New Roman" w:hAnsi="Times New Roman"/>
          <w:sz w:val="22"/>
          <w:szCs w:val="22"/>
        </w:rPr>
        <w:t>Over the last ten years, o</w:t>
      </w:r>
      <w:r w:rsidR="00F67353" w:rsidRPr="00F82816">
        <w:rPr>
          <w:rFonts w:ascii="Times New Roman" w:hAnsi="Times New Roman"/>
          <w:sz w:val="22"/>
          <w:szCs w:val="22"/>
        </w:rPr>
        <w:t>ur research has focused on over</w:t>
      </w:r>
      <w:r w:rsidR="00025C2E" w:rsidRPr="00F82816">
        <w:rPr>
          <w:rFonts w:ascii="Times New Roman" w:hAnsi="Times New Roman"/>
          <w:sz w:val="22"/>
          <w:szCs w:val="22"/>
        </w:rPr>
        <w:t xml:space="preserve">coming </w:t>
      </w:r>
      <w:r w:rsidR="00F67353" w:rsidRPr="00F82816">
        <w:rPr>
          <w:rFonts w:ascii="Times New Roman" w:hAnsi="Times New Roman"/>
          <w:sz w:val="22"/>
          <w:szCs w:val="22"/>
        </w:rPr>
        <w:t xml:space="preserve">some of </w:t>
      </w:r>
      <w:r w:rsidR="00025C2E" w:rsidRPr="00F82816">
        <w:rPr>
          <w:rFonts w:ascii="Times New Roman" w:hAnsi="Times New Roman"/>
          <w:sz w:val="22"/>
          <w:szCs w:val="22"/>
        </w:rPr>
        <w:t>these limitations</w:t>
      </w:r>
      <w:r w:rsidR="00F67353" w:rsidRPr="00F82816">
        <w:rPr>
          <w:rFonts w:ascii="Times New Roman" w:hAnsi="Times New Roman"/>
          <w:sz w:val="22"/>
          <w:szCs w:val="22"/>
        </w:rPr>
        <w:t xml:space="preserve">, leading to new imaging agents for diseases associated with neurology and oncology. This </w:t>
      </w:r>
      <w:r w:rsidR="00F82816">
        <w:rPr>
          <w:rFonts w:ascii="Times New Roman" w:hAnsi="Times New Roman"/>
          <w:sz w:val="22"/>
          <w:szCs w:val="22"/>
        </w:rPr>
        <w:t>seminar</w:t>
      </w:r>
      <w:r w:rsidR="00F67353" w:rsidRPr="00F82816">
        <w:rPr>
          <w:rFonts w:ascii="Times New Roman" w:hAnsi="Times New Roman"/>
          <w:sz w:val="22"/>
          <w:szCs w:val="22"/>
        </w:rPr>
        <w:t xml:space="preserve"> will give an overview of some of these developments, incl</w:t>
      </w:r>
      <w:r w:rsidR="00CE794D" w:rsidRPr="00F82816">
        <w:rPr>
          <w:rFonts w:ascii="Times New Roman" w:hAnsi="Times New Roman"/>
          <w:sz w:val="22"/>
          <w:szCs w:val="22"/>
        </w:rPr>
        <w:t>uding a new SPECT imaging agent</w:t>
      </w:r>
      <w:r w:rsidR="00F67353" w:rsidRPr="00F82816">
        <w:rPr>
          <w:rFonts w:ascii="Times New Roman" w:hAnsi="Times New Roman"/>
          <w:sz w:val="22"/>
          <w:szCs w:val="22"/>
        </w:rPr>
        <w:t xml:space="preserve"> of the noradrenaline transporte</w:t>
      </w:r>
      <w:r w:rsidR="00CE794D" w:rsidRPr="00F82816">
        <w:rPr>
          <w:rFonts w:ascii="Times New Roman" w:hAnsi="Times New Roman"/>
          <w:sz w:val="22"/>
          <w:szCs w:val="22"/>
        </w:rPr>
        <w:t>r and a novel PET imaging agent</w:t>
      </w:r>
      <w:r w:rsidR="00F67353" w:rsidRPr="00F82816">
        <w:rPr>
          <w:rFonts w:ascii="Times New Roman" w:hAnsi="Times New Roman"/>
          <w:sz w:val="22"/>
          <w:szCs w:val="22"/>
        </w:rPr>
        <w:t xml:space="preserve"> that can detect brain tumours</w:t>
      </w:r>
      <w:r w:rsidR="00CE794D" w:rsidRPr="00F82816">
        <w:rPr>
          <w:rFonts w:ascii="Times New Roman" w:hAnsi="Times New Roman"/>
          <w:sz w:val="22"/>
          <w:szCs w:val="22"/>
        </w:rPr>
        <w:t xml:space="preserve"> (see figure)</w:t>
      </w:r>
      <w:r w:rsidR="00F67353" w:rsidRPr="00F82816">
        <w:rPr>
          <w:rFonts w:ascii="Times New Roman" w:hAnsi="Times New Roman"/>
          <w:sz w:val="22"/>
          <w:szCs w:val="22"/>
        </w:rPr>
        <w:t>.</w:t>
      </w:r>
      <w:r w:rsidR="00F67353" w:rsidRPr="00F82816">
        <w:rPr>
          <w:rFonts w:ascii="Times New Roman" w:hAnsi="Times New Roman"/>
          <w:sz w:val="22"/>
          <w:szCs w:val="22"/>
          <w:vertAlign w:val="superscript"/>
        </w:rPr>
        <w:t>2</w:t>
      </w:r>
      <w:proofErr w:type="gramStart"/>
      <w:r w:rsidR="00F67353" w:rsidRPr="00F82816">
        <w:rPr>
          <w:rFonts w:ascii="Times New Roman" w:hAnsi="Times New Roman"/>
          <w:sz w:val="22"/>
          <w:szCs w:val="22"/>
          <w:vertAlign w:val="superscript"/>
        </w:rPr>
        <w:t>,3</w:t>
      </w:r>
      <w:proofErr w:type="gramEnd"/>
      <w:r w:rsidR="00F67353" w:rsidRPr="00F82816">
        <w:rPr>
          <w:rFonts w:ascii="Times New Roman" w:hAnsi="Times New Roman"/>
          <w:sz w:val="22"/>
          <w:szCs w:val="22"/>
        </w:rPr>
        <w:t xml:space="preserve"> The presentation will also describe new </w:t>
      </w:r>
      <w:r w:rsidR="00D14B9D" w:rsidRPr="00F82816">
        <w:rPr>
          <w:rFonts w:ascii="Times New Roman" w:hAnsi="Times New Roman"/>
          <w:sz w:val="22"/>
          <w:szCs w:val="22"/>
        </w:rPr>
        <w:t xml:space="preserve">transition metal catalysed </w:t>
      </w:r>
      <w:r w:rsidR="00F67353" w:rsidRPr="00F82816">
        <w:rPr>
          <w:rFonts w:ascii="Times New Roman" w:hAnsi="Times New Roman"/>
          <w:sz w:val="22"/>
          <w:szCs w:val="22"/>
        </w:rPr>
        <w:t xml:space="preserve">methods that have been developed for the </w:t>
      </w:r>
      <w:r w:rsidR="00D14B9D" w:rsidRPr="00F82816">
        <w:rPr>
          <w:rFonts w:ascii="Times New Roman" w:hAnsi="Times New Roman"/>
          <w:sz w:val="22"/>
          <w:szCs w:val="22"/>
        </w:rPr>
        <w:t xml:space="preserve">rapid </w:t>
      </w:r>
      <w:r w:rsidR="00F82816" w:rsidRPr="00F82816">
        <w:rPr>
          <w:rFonts w:ascii="Times New Roman" w:hAnsi="Times New Roman"/>
          <w:sz w:val="22"/>
          <w:szCs w:val="22"/>
        </w:rPr>
        <w:t xml:space="preserve">preparation of </w:t>
      </w:r>
      <w:r w:rsidR="00F67353" w:rsidRPr="00F82816">
        <w:rPr>
          <w:rFonts w:ascii="Times New Roman" w:hAnsi="Times New Roman"/>
          <w:sz w:val="22"/>
          <w:szCs w:val="22"/>
        </w:rPr>
        <w:t>iodinated</w:t>
      </w:r>
      <w:r w:rsidR="00F82816" w:rsidRPr="00F82816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F82816" w:rsidRPr="00F82816">
        <w:rPr>
          <w:rFonts w:ascii="Times New Roman" w:hAnsi="Times New Roman"/>
          <w:sz w:val="22"/>
          <w:szCs w:val="22"/>
        </w:rPr>
        <w:t>radioiodinated</w:t>
      </w:r>
      <w:proofErr w:type="spellEnd"/>
      <w:r w:rsidR="00F82816" w:rsidRPr="00F82816">
        <w:rPr>
          <w:rFonts w:ascii="Times New Roman" w:hAnsi="Times New Roman"/>
          <w:sz w:val="22"/>
          <w:szCs w:val="22"/>
        </w:rPr>
        <w:t xml:space="preserve"> compounds for SPECT imaging. </w:t>
      </w:r>
      <w:r w:rsidR="00F82816">
        <w:rPr>
          <w:rFonts w:ascii="Times New Roman" w:hAnsi="Times New Roman"/>
          <w:sz w:val="22"/>
          <w:szCs w:val="22"/>
        </w:rPr>
        <w:t>For example,</w:t>
      </w:r>
      <w:r w:rsidR="00F82816" w:rsidRPr="00F82816">
        <w:rPr>
          <w:rFonts w:ascii="Times New Roman" w:hAnsi="Times New Roman"/>
          <w:sz w:val="22"/>
          <w:szCs w:val="22"/>
        </w:rPr>
        <w:t xml:space="preserve"> we have developed a one-step </w:t>
      </w:r>
      <w:proofErr w:type="gramStart"/>
      <w:r w:rsidR="00F82816" w:rsidRPr="00F82816">
        <w:rPr>
          <w:rFonts w:ascii="Times New Roman" w:hAnsi="Times New Roman"/>
          <w:sz w:val="22"/>
          <w:szCs w:val="22"/>
        </w:rPr>
        <w:t>nickel(</w:t>
      </w:r>
      <w:proofErr w:type="gramEnd"/>
      <w:r w:rsidR="00F82816" w:rsidRPr="00F82816">
        <w:rPr>
          <w:rFonts w:ascii="Times New Roman" w:hAnsi="Times New Roman"/>
          <w:sz w:val="22"/>
          <w:szCs w:val="22"/>
        </w:rPr>
        <w:t xml:space="preserve">0)-catalysed iodination of aryl and </w:t>
      </w:r>
      <w:proofErr w:type="spellStart"/>
      <w:r w:rsidR="00F82816" w:rsidRPr="00F82816">
        <w:rPr>
          <w:rFonts w:ascii="Times New Roman" w:hAnsi="Times New Roman"/>
          <w:sz w:val="22"/>
          <w:szCs w:val="22"/>
        </w:rPr>
        <w:t>heteroaryl</w:t>
      </w:r>
      <w:proofErr w:type="spellEnd"/>
      <w:r w:rsidR="00F82816" w:rsidRPr="00F82816">
        <w:rPr>
          <w:rFonts w:ascii="Times New Roman" w:hAnsi="Times New Roman"/>
          <w:sz w:val="22"/>
          <w:szCs w:val="22"/>
        </w:rPr>
        <w:t xml:space="preserve"> bromides that is general for a wide range of highly functional substrates.</w:t>
      </w:r>
      <w:r w:rsidR="00F82816">
        <w:rPr>
          <w:rFonts w:ascii="Times New Roman" w:hAnsi="Times New Roman"/>
          <w:sz w:val="22"/>
          <w:szCs w:val="22"/>
          <w:vertAlign w:val="superscript"/>
        </w:rPr>
        <w:t>4</w:t>
      </w:r>
      <w:r w:rsidR="00F82816" w:rsidRPr="00F82816">
        <w:rPr>
          <w:rFonts w:ascii="Times New Roman" w:hAnsi="Times New Roman"/>
          <w:sz w:val="22"/>
          <w:szCs w:val="22"/>
        </w:rPr>
        <w:t xml:space="preserve"> With some optimisation this procedure was extended for the direct and highly efficient </w:t>
      </w:r>
      <w:proofErr w:type="spellStart"/>
      <w:r w:rsidR="00F82816" w:rsidRPr="00F82816">
        <w:rPr>
          <w:rFonts w:ascii="Times New Roman" w:hAnsi="Times New Roman"/>
          <w:sz w:val="22"/>
          <w:szCs w:val="22"/>
        </w:rPr>
        <w:t>radioiodination</w:t>
      </w:r>
      <w:proofErr w:type="spellEnd"/>
      <w:r w:rsidR="00F82816" w:rsidRPr="00F82816">
        <w:rPr>
          <w:rFonts w:ascii="Times New Roman" w:hAnsi="Times New Roman"/>
          <w:sz w:val="22"/>
          <w:szCs w:val="22"/>
        </w:rPr>
        <w:t xml:space="preserve"> of aryl bromides.</w:t>
      </w:r>
      <w:r w:rsidR="00F82816">
        <w:rPr>
          <w:rFonts w:ascii="Times New Roman" w:hAnsi="Times New Roman"/>
          <w:sz w:val="22"/>
          <w:szCs w:val="22"/>
          <w:vertAlign w:val="superscript"/>
        </w:rPr>
        <w:t>5</w:t>
      </w:r>
      <w:r w:rsidR="00F82816" w:rsidRPr="00F82816">
        <w:rPr>
          <w:rFonts w:ascii="Times New Roman" w:hAnsi="Times New Roman"/>
          <w:sz w:val="22"/>
          <w:szCs w:val="22"/>
        </w:rPr>
        <w:t xml:space="preserve"> An application of this procedure in diagnostic imaging was demonstrated with the preparation of 5-[</w:t>
      </w:r>
      <w:r w:rsidR="00F82816" w:rsidRPr="00F82816">
        <w:rPr>
          <w:rFonts w:ascii="Times New Roman" w:hAnsi="Times New Roman"/>
          <w:sz w:val="22"/>
          <w:szCs w:val="22"/>
          <w:vertAlign w:val="superscript"/>
        </w:rPr>
        <w:t>123</w:t>
      </w:r>
      <w:r w:rsidR="00F82816" w:rsidRPr="00F82816">
        <w:rPr>
          <w:rFonts w:ascii="Times New Roman" w:hAnsi="Times New Roman"/>
          <w:sz w:val="22"/>
          <w:szCs w:val="22"/>
        </w:rPr>
        <w:t>I]-A85380, a SPECT tracer used for imaging neuronal nicotinic acetylcholi</w:t>
      </w:r>
      <w:r w:rsidR="00F82816">
        <w:rPr>
          <w:rFonts w:ascii="Times New Roman" w:hAnsi="Times New Roman"/>
          <w:sz w:val="22"/>
          <w:szCs w:val="22"/>
        </w:rPr>
        <w:t>ne receptors in humans</w:t>
      </w:r>
      <w:r w:rsidR="00F82816" w:rsidRPr="00F82816">
        <w:rPr>
          <w:rFonts w:ascii="Times New Roman" w:hAnsi="Times New Roman"/>
          <w:sz w:val="22"/>
          <w:szCs w:val="22"/>
        </w:rPr>
        <w:t>. More recently, other metal-catalysed reactions have been investigated for generating iodinated</w:t>
      </w:r>
      <w:r w:rsidR="00F82816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F82816">
        <w:rPr>
          <w:rFonts w:ascii="Times New Roman" w:hAnsi="Times New Roman"/>
          <w:sz w:val="22"/>
          <w:szCs w:val="22"/>
        </w:rPr>
        <w:t>radioiodinated</w:t>
      </w:r>
      <w:proofErr w:type="spellEnd"/>
      <w:r w:rsidR="00F82816" w:rsidRPr="00F82816">
        <w:rPr>
          <w:rFonts w:ascii="Times New Roman" w:hAnsi="Times New Roman"/>
          <w:sz w:val="22"/>
          <w:szCs w:val="22"/>
        </w:rPr>
        <w:t xml:space="preserve"> aryl compounds</w:t>
      </w:r>
      <w:r w:rsidR="00F82816">
        <w:rPr>
          <w:rFonts w:ascii="Times New Roman" w:hAnsi="Times New Roman"/>
          <w:sz w:val="22"/>
          <w:szCs w:val="22"/>
        </w:rPr>
        <w:t xml:space="preserve"> including the</w:t>
      </w:r>
      <w:r w:rsidR="00F82816" w:rsidRPr="00F8281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82816" w:rsidRPr="00F82816">
        <w:rPr>
          <w:rFonts w:ascii="Times New Roman" w:hAnsi="Times New Roman"/>
          <w:sz w:val="22"/>
          <w:szCs w:val="22"/>
        </w:rPr>
        <w:t>iron(</w:t>
      </w:r>
      <w:proofErr w:type="gramEnd"/>
      <w:r w:rsidR="00F82816" w:rsidRPr="00F82816">
        <w:rPr>
          <w:rFonts w:ascii="Times New Roman" w:hAnsi="Times New Roman"/>
          <w:sz w:val="22"/>
          <w:szCs w:val="22"/>
        </w:rPr>
        <w:t>III)-</w:t>
      </w:r>
      <w:r w:rsidR="00F82816">
        <w:rPr>
          <w:rFonts w:ascii="Times New Roman" w:hAnsi="Times New Roman"/>
          <w:sz w:val="22"/>
          <w:szCs w:val="22"/>
        </w:rPr>
        <w:t>catalysed</w:t>
      </w:r>
      <w:r w:rsidR="00F82816" w:rsidRPr="00F82816">
        <w:rPr>
          <w:rFonts w:ascii="Times New Roman" w:hAnsi="Times New Roman"/>
          <w:sz w:val="22"/>
          <w:szCs w:val="22"/>
        </w:rPr>
        <w:t xml:space="preserve"> iod</w:t>
      </w:r>
      <w:r w:rsidR="00F82816">
        <w:rPr>
          <w:rFonts w:ascii="Times New Roman" w:hAnsi="Times New Roman"/>
          <w:sz w:val="22"/>
          <w:szCs w:val="22"/>
        </w:rPr>
        <w:t xml:space="preserve">ination of electron rich </w:t>
      </w:r>
      <w:proofErr w:type="spellStart"/>
      <w:r w:rsidR="00F82816">
        <w:rPr>
          <w:rFonts w:ascii="Times New Roman" w:hAnsi="Times New Roman"/>
          <w:sz w:val="22"/>
          <w:szCs w:val="22"/>
        </w:rPr>
        <w:t>arenes</w:t>
      </w:r>
      <w:proofErr w:type="spellEnd"/>
      <w:r w:rsidR="00C32B1A">
        <w:rPr>
          <w:rFonts w:ascii="Times New Roman" w:hAnsi="Times New Roman"/>
          <w:sz w:val="22"/>
          <w:szCs w:val="22"/>
        </w:rPr>
        <w:t xml:space="preserve"> with </w:t>
      </w:r>
      <w:r w:rsidR="00C32B1A" w:rsidRPr="00F82816">
        <w:rPr>
          <w:rFonts w:ascii="Times New Roman" w:hAnsi="Times New Roman"/>
          <w:i/>
          <w:sz w:val="22"/>
          <w:szCs w:val="22"/>
        </w:rPr>
        <w:t>N</w:t>
      </w:r>
      <w:r w:rsidR="00C32B1A">
        <w:rPr>
          <w:rFonts w:ascii="Times New Roman" w:hAnsi="Times New Roman"/>
          <w:sz w:val="22"/>
          <w:szCs w:val="22"/>
        </w:rPr>
        <w:t>-iodosuccinimide</w:t>
      </w:r>
      <w:r w:rsidR="00F82816">
        <w:rPr>
          <w:rFonts w:ascii="Times New Roman" w:hAnsi="Times New Roman"/>
          <w:sz w:val="22"/>
          <w:szCs w:val="22"/>
        </w:rPr>
        <w:t>.</w:t>
      </w:r>
      <w:r w:rsidR="00C32B1A">
        <w:rPr>
          <w:rFonts w:ascii="Times New Roman" w:hAnsi="Times New Roman"/>
          <w:sz w:val="22"/>
          <w:szCs w:val="22"/>
          <w:vertAlign w:val="superscript"/>
        </w:rPr>
        <w:t>6</w:t>
      </w:r>
      <w:r w:rsidR="00C32B1A">
        <w:rPr>
          <w:rFonts w:ascii="Times New Roman" w:hAnsi="Times New Roman"/>
          <w:sz w:val="22"/>
          <w:szCs w:val="22"/>
        </w:rPr>
        <w:t xml:space="preserve"> An overview of the key developments of these new transformations will also be described.</w:t>
      </w:r>
    </w:p>
    <w:p w14:paraId="0203FF1B" w14:textId="77777777" w:rsidR="00D14B9D" w:rsidRDefault="00D14B9D" w:rsidP="00B97F31">
      <w:pPr>
        <w:jc w:val="both"/>
        <w:rPr>
          <w:rFonts w:ascii="Times New Roman" w:hAnsi="Times New Roman"/>
          <w:sz w:val="22"/>
          <w:szCs w:val="22"/>
        </w:rPr>
      </w:pPr>
    </w:p>
    <w:p w14:paraId="71391526" w14:textId="2FEBA6F6" w:rsidR="00674B74" w:rsidRPr="00BD2C59" w:rsidRDefault="008834A1" w:rsidP="006D606F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C59">
        <w:rPr>
          <w:rFonts w:ascii="Times New Roman" w:hAnsi="Times New Roman"/>
          <w:sz w:val="22"/>
          <w:szCs w:val="22"/>
        </w:rPr>
        <w:t>1.</w:t>
      </w:r>
      <w:r w:rsidR="00F67353">
        <w:rPr>
          <w:rFonts w:ascii="Times New Roman" w:hAnsi="Times New Roman"/>
          <w:sz w:val="22"/>
          <w:szCs w:val="22"/>
        </w:rPr>
        <w:t xml:space="preserve"> S. L. </w:t>
      </w:r>
      <w:proofErr w:type="spellStart"/>
      <w:r w:rsidR="00F67353">
        <w:rPr>
          <w:rFonts w:ascii="Times New Roman" w:hAnsi="Times New Roman"/>
          <w:sz w:val="22"/>
          <w:szCs w:val="22"/>
        </w:rPr>
        <w:t>Pimlott</w:t>
      </w:r>
      <w:proofErr w:type="spellEnd"/>
      <w:r w:rsidR="00F67353">
        <w:rPr>
          <w:rFonts w:ascii="Times New Roman" w:hAnsi="Times New Roman"/>
          <w:sz w:val="22"/>
          <w:szCs w:val="22"/>
        </w:rPr>
        <w:t xml:space="preserve"> and A. Sutherland,</w:t>
      </w:r>
      <w:r w:rsidR="00CF3AD2" w:rsidRPr="00BD2C59">
        <w:rPr>
          <w:rFonts w:ascii="Times New Roman" w:hAnsi="Times New Roman"/>
          <w:sz w:val="22"/>
          <w:szCs w:val="22"/>
        </w:rPr>
        <w:t xml:space="preserve"> </w:t>
      </w:r>
      <w:r w:rsidR="00CF3AD2" w:rsidRPr="00BD2C59">
        <w:rPr>
          <w:rFonts w:ascii="Times New Roman" w:hAnsi="Times New Roman"/>
          <w:i/>
          <w:sz w:val="22"/>
          <w:szCs w:val="22"/>
        </w:rPr>
        <w:t>Chem. Soc. Rev.</w:t>
      </w:r>
      <w:r w:rsidR="00F67353">
        <w:rPr>
          <w:rFonts w:ascii="Times New Roman" w:hAnsi="Times New Roman"/>
          <w:sz w:val="22"/>
          <w:szCs w:val="22"/>
        </w:rPr>
        <w:t>,</w:t>
      </w:r>
      <w:r w:rsidR="00CF3AD2" w:rsidRPr="00BD2C59">
        <w:rPr>
          <w:rFonts w:ascii="Times New Roman" w:hAnsi="Times New Roman"/>
          <w:sz w:val="22"/>
          <w:szCs w:val="22"/>
        </w:rPr>
        <w:t xml:space="preserve"> 2011, </w:t>
      </w:r>
      <w:r w:rsidR="00CF3AD2" w:rsidRPr="00BD2C59">
        <w:rPr>
          <w:rFonts w:ascii="Times New Roman" w:hAnsi="Times New Roman"/>
          <w:b/>
          <w:sz w:val="22"/>
          <w:szCs w:val="22"/>
        </w:rPr>
        <w:t>40</w:t>
      </w:r>
      <w:r w:rsidR="00CF3AD2" w:rsidRPr="00BD2C59">
        <w:rPr>
          <w:rFonts w:ascii="Times New Roman" w:hAnsi="Times New Roman"/>
          <w:sz w:val="22"/>
          <w:szCs w:val="22"/>
        </w:rPr>
        <w:t>, 149.</w:t>
      </w:r>
    </w:p>
    <w:p w14:paraId="4A9B8833" w14:textId="5BC1EA43" w:rsidR="00F67353" w:rsidRPr="006D606F" w:rsidRDefault="00F67353" w:rsidP="006D60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6D606F" w:rsidRPr="006D606F">
        <w:rPr>
          <w:rFonts w:ascii="Times New Roman" w:hAnsi="Times New Roman"/>
          <w:sz w:val="22"/>
          <w:szCs w:val="22"/>
        </w:rPr>
        <w:t xml:space="preserve">N. K. Jobson, A. R. Crawford, D. Dewar, S. L. </w:t>
      </w:r>
      <w:proofErr w:type="spellStart"/>
      <w:r w:rsidR="006D606F" w:rsidRPr="006D606F">
        <w:rPr>
          <w:rFonts w:ascii="Times New Roman" w:hAnsi="Times New Roman"/>
          <w:sz w:val="22"/>
          <w:szCs w:val="22"/>
        </w:rPr>
        <w:t>Pimlott</w:t>
      </w:r>
      <w:proofErr w:type="spellEnd"/>
      <w:r w:rsidR="006D606F" w:rsidRPr="006D606F">
        <w:rPr>
          <w:rFonts w:ascii="Times New Roman" w:hAnsi="Times New Roman"/>
          <w:sz w:val="22"/>
          <w:szCs w:val="22"/>
        </w:rPr>
        <w:t xml:space="preserve"> and A. Sutherland, </w:t>
      </w:r>
      <w:proofErr w:type="spellStart"/>
      <w:r w:rsidR="006D606F" w:rsidRPr="006D606F">
        <w:rPr>
          <w:rFonts w:ascii="Times New Roman" w:hAnsi="Times New Roman"/>
          <w:i/>
          <w:sz w:val="22"/>
          <w:szCs w:val="22"/>
        </w:rPr>
        <w:t>Bioorg</w:t>
      </w:r>
      <w:proofErr w:type="spellEnd"/>
      <w:r w:rsidR="006D606F" w:rsidRPr="006D606F">
        <w:rPr>
          <w:rFonts w:ascii="Times New Roman" w:hAnsi="Times New Roman"/>
          <w:i/>
          <w:sz w:val="22"/>
          <w:szCs w:val="22"/>
        </w:rPr>
        <w:t>. Med. Chem. Lett</w:t>
      </w:r>
      <w:r w:rsidR="006D606F" w:rsidRPr="006D606F">
        <w:rPr>
          <w:rFonts w:ascii="Times New Roman" w:hAnsi="Times New Roman"/>
          <w:sz w:val="22"/>
          <w:szCs w:val="22"/>
        </w:rPr>
        <w:t xml:space="preserve">., 2009, </w:t>
      </w:r>
      <w:r w:rsidR="006D606F" w:rsidRPr="006D606F">
        <w:rPr>
          <w:rFonts w:ascii="Times New Roman" w:hAnsi="Times New Roman"/>
          <w:b/>
          <w:sz w:val="22"/>
          <w:szCs w:val="22"/>
        </w:rPr>
        <w:t>19</w:t>
      </w:r>
      <w:r w:rsidR="006D606F">
        <w:rPr>
          <w:rFonts w:ascii="Times New Roman" w:hAnsi="Times New Roman"/>
          <w:sz w:val="22"/>
          <w:szCs w:val="22"/>
        </w:rPr>
        <w:t>, 4996</w:t>
      </w:r>
      <w:r w:rsidR="006D606F" w:rsidRPr="006D606F">
        <w:rPr>
          <w:rFonts w:ascii="Times New Roman" w:hAnsi="Times New Roman"/>
          <w:sz w:val="22"/>
          <w:szCs w:val="22"/>
        </w:rPr>
        <w:t>.</w:t>
      </w:r>
    </w:p>
    <w:p w14:paraId="4BC4F49A" w14:textId="1B0E47B3" w:rsidR="00F67353" w:rsidRPr="00F67353" w:rsidRDefault="00F67353" w:rsidP="006D60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F67353">
        <w:rPr>
          <w:rFonts w:ascii="Times New Roman" w:hAnsi="Times New Roman"/>
          <w:sz w:val="22"/>
          <w:szCs w:val="22"/>
        </w:rPr>
        <w:t xml:space="preserve">A. Blair, F. </w:t>
      </w:r>
      <w:proofErr w:type="spellStart"/>
      <w:r w:rsidRPr="00F67353">
        <w:rPr>
          <w:rFonts w:ascii="Times New Roman" w:hAnsi="Times New Roman"/>
          <w:sz w:val="22"/>
          <w:szCs w:val="22"/>
        </w:rPr>
        <w:t>Zmuda</w:t>
      </w:r>
      <w:proofErr w:type="spellEnd"/>
      <w:r w:rsidRPr="00F67353">
        <w:rPr>
          <w:rFonts w:ascii="Times New Roman" w:hAnsi="Times New Roman"/>
          <w:sz w:val="22"/>
          <w:szCs w:val="22"/>
        </w:rPr>
        <w:t xml:space="preserve">, G. </w:t>
      </w:r>
      <w:proofErr w:type="spellStart"/>
      <w:r w:rsidRPr="00F67353">
        <w:rPr>
          <w:rFonts w:ascii="Times New Roman" w:hAnsi="Times New Roman"/>
          <w:sz w:val="22"/>
          <w:szCs w:val="22"/>
        </w:rPr>
        <w:t>Malviya</w:t>
      </w:r>
      <w:proofErr w:type="spellEnd"/>
      <w:r w:rsidRPr="00F67353">
        <w:rPr>
          <w:rFonts w:ascii="Times New Roman" w:hAnsi="Times New Roman"/>
          <w:sz w:val="22"/>
          <w:szCs w:val="22"/>
        </w:rPr>
        <w:t xml:space="preserve">, A. A. S. Tavares, G. D. </w:t>
      </w:r>
      <w:proofErr w:type="spellStart"/>
      <w:r w:rsidRPr="00F67353">
        <w:rPr>
          <w:rFonts w:ascii="Times New Roman" w:hAnsi="Times New Roman"/>
          <w:sz w:val="22"/>
          <w:szCs w:val="22"/>
        </w:rPr>
        <w:t>Tamagnan</w:t>
      </w:r>
      <w:proofErr w:type="spellEnd"/>
      <w:r w:rsidRPr="00F67353">
        <w:rPr>
          <w:rFonts w:ascii="Times New Roman" w:hAnsi="Times New Roman"/>
          <w:sz w:val="22"/>
          <w:szCs w:val="22"/>
        </w:rPr>
        <w:t xml:space="preserve">, A. J. Chalmers, D. Dewar, S. L. </w:t>
      </w:r>
      <w:proofErr w:type="spellStart"/>
      <w:r w:rsidRPr="00F67353">
        <w:rPr>
          <w:rFonts w:ascii="Times New Roman" w:hAnsi="Times New Roman"/>
          <w:sz w:val="22"/>
          <w:szCs w:val="22"/>
        </w:rPr>
        <w:t>Pimlott</w:t>
      </w:r>
      <w:proofErr w:type="spellEnd"/>
      <w:r w:rsidRPr="00F67353">
        <w:rPr>
          <w:rFonts w:ascii="Times New Roman" w:hAnsi="Times New Roman"/>
          <w:sz w:val="22"/>
          <w:szCs w:val="22"/>
        </w:rPr>
        <w:t xml:space="preserve"> and A. Sutherland, </w:t>
      </w:r>
      <w:r w:rsidRPr="00F67353">
        <w:rPr>
          <w:rFonts w:ascii="Times New Roman" w:hAnsi="Times New Roman"/>
          <w:i/>
          <w:iCs/>
          <w:sz w:val="22"/>
          <w:szCs w:val="22"/>
        </w:rPr>
        <w:t>Chem. Sci</w:t>
      </w:r>
      <w:r w:rsidRPr="00F67353">
        <w:rPr>
          <w:rFonts w:ascii="Times New Roman" w:hAnsi="Times New Roman"/>
          <w:sz w:val="22"/>
          <w:szCs w:val="22"/>
        </w:rPr>
        <w:t xml:space="preserve">., 2015, </w:t>
      </w:r>
      <w:r w:rsidRPr="00F67353">
        <w:rPr>
          <w:rFonts w:ascii="Times New Roman" w:hAnsi="Times New Roman"/>
          <w:b/>
          <w:bCs/>
          <w:sz w:val="22"/>
          <w:szCs w:val="22"/>
        </w:rPr>
        <w:t>6</w:t>
      </w:r>
      <w:r w:rsidR="006D606F" w:rsidRPr="0095581C">
        <w:rPr>
          <w:rFonts w:ascii="Times New Roman" w:hAnsi="Times New Roman"/>
          <w:sz w:val="22"/>
          <w:szCs w:val="22"/>
        </w:rPr>
        <w:t>,</w:t>
      </w:r>
      <w:r w:rsidR="006D606F">
        <w:rPr>
          <w:rFonts w:ascii="Times New Roman" w:hAnsi="Times New Roman"/>
          <w:sz w:val="22"/>
          <w:szCs w:val="22"/>
        </w:rPr>
        <w:t xml:space="preserve"> 4772</w:t>
      </w:r>
      <w:r w:rsidRPr="00F67353">
        <w:rPr>
          <w:rFonts w:ascii="Times New Roman" w:hAnsi="Times New Roman"/>
          <w:sz w:val="22"/>
          <w:szCs w:val="22"/>
        </w:rPr>
        <w:t>.</w:t>
      </w:r>
    </w:p>
    <w:p w14:paraId="2E7B64FA" w14:textId="304740F5" w:rsidR="00C32B1A" w:rsidRDefault="00C32B1A" w:rsidP="006D60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A. A. Cant, R. </w:t>
      </w:r>
      <w:proofErr w:type="spellStart"/>
      <w:r>
        <w:rPr>
          <w:rFonts w:ascii="Times New Roman" w:hAnsi="Times New Roman"/>
          <w:sz w:val="22"/>
          <w:szCs w:val="22"/>
        </w:rPr>
        <w:t>Bhalla</w:t>
      </w:r>
      <w:proofErr w:type="spellEnd"/>
      <w:r>
        <w:rPr>
          <w:rFonts w:ascii="Times New Roman" w:hAnsi="Times New Roman"/>
          <w:sz w:val="22"/>
          <w:szCs w:val="22"/>
        </w:rPr>
        <w:t xml:space="preserve">, S. L. </w:t>
      </w:r>
      <w:proofErr w:type="spellStart"/>
      <w:r>
        <w:rPr>
          <w:rFonts w:ascii="Times New Roman" w:hAnsi="Times New Roman"/>
          <w:sz w:val="22"/>
          <w:szCs w:val="22"/>
        </w:rPr>
        <w:t>Pimlott</w:t>
      </w:r>
      <w:proofErr w:type="spellEnd"/>
      <w:r>
        <w:rPr>
          <w:rFonts w:ascii="Times New Roman" w:hAnsi="Times New Roman"/>
          <w:sz w:val="22"/>
          <w:szCs w:val="22"/>
        </w:rPr>
        <w:t xml:space="preserve"> and A. Sutherland, </w:t>
      </w:r>
      <w:r>
        <w:rPr>
          <w:rFonts w:ascii="Times New Roman" w:hAnsi="Times New Roman"/>
          <w:i/>
          <w:sz w:val="22"/>
          <w:szCs w:val="22"/>
        </w:rPr>
        <w:t xml:space="preserve">Chem. </w:t>
      </w:r>
      <w:proofErr w:type="spellStart"/>
      <w:r>
        <w:rPr>
          <w:rFonts w:ascii="Times New Roman" w:hAnsi="Times New Roman"/>
          <w:i/>
          <w:sz w:val="22"/>
          <w:szCs w:val="22"/>
        </w:rPr>
        <w:t>Commun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 xml:space="preserve">2012, </w:t>
      </w:r>
      <w:r>
        <w:rPr>
          <w:rFonts w:ascii="Times New Roman" w:hAnsi="Times New Roman"/>
          <w:b/>
          <w:sz w:val="22"/>
          <w:szCs w:val="22"/>
        </w:rPr>
        <w:t>48</w:t>
      </w:r>
      <w:r w:rsidRPr="0095581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3993.</w:t>
      </w:r>
      <w:proofErr w:type="gramEnd"/>
    </w:p>
    <w:p w14:paraId="73BFACEF" w14:textId="23E1F4DC" w:rsidR="00184B82" w:rsidRDefault="00C32B1A" w:rsidP="006D60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67353">
        <w:rPr>
          <w:rFonts w:ascii="Times New Roman" w:hAnsi="Times New Roman"/>
          <w:sz w:val="22"/>
          <w:szCs w:val="22"/>
        </w:rPr>
        <w:t>. A. A. Cant</w:t>
      </w:r>
      <w:r w:rsidR="00FF6824" w:rsidRPr="00BD2C59">
        <w:rPr>
          <w:rFonts w:ascii="Times New Roman" w:hAnsi="Times New Roman"/>
          <w:sz w:val="22"/>
          <w:szCs w:val="22"/>
        </w:rPr>
        <w:t>,</w:t>
      </w:r>
      <w:r w:rsidR="00F67353">
        <w:rPr>
          <w:rFonts w:ascii="Times New Roman" w:hAnsi="Times New Roman"/>
          <w:sz w:val="22"/>
          <w:szCs w:val="22"/>
        </w:rPr>
        <w:t xml:space="preserve"> S. Champion</w:t>
      </w:r>
      <w:r w:rsidR="00FF6824" w:rsidRPr="00BD2C59">
        <w:rPr>
          <w:rFonts w:ascii="Times New Roman" w:hAnsi="Times New Roman"/>
          <w:sz w:val="22"/>
          <w:szCs w:val="22"/>
        </w:rPr>
        <w:t xml:space="preserve">, </w:t>
      </w:r>
      <w:r w:rsidR="00F67353">
        <w:rPr>
          <w:rFonts w:ascii="Times New Roman" w:hAnsi="Times New Roman"/>
          <w:sz w:val="22"/>
          <w:szCs w:val="22"/>
        </w:rPr>
        <w:t xml:space="preserve">R. </w:t>
      </w:r>
      <w:proofErr w:type="spellStart"/>
      <w:r w:rsidR="00F67353">
        <w:rPr>
          <w:rFonts w:ascii="Times New Roman" w:hAnsi="Times New Roman"/>
          <w:sz w:val="22"/>
          <w:szCs w:val="22"/>
        </w:rPr>
        <w:t>Bhalla</w:t>
      </w:r>
      <w:proofErr w:type="spellEnd"/>
      <w:r w:rsidR="00FF6824" w:rsidRPr="00BD2C59">
        <w:rPr>
          <w:rFonts w:ascii="Times New Roman" w:hAnsi="Times New Roman"/>
          <w:sz w:val="22"/>
          <w:szCs w:val="22"/>
        </w:rPr>
        <w:t xml:space="preserve">, </w:t>
      </w:r>
      <w:r w:rsidR="00F67353">
        <w:rPr>
          <w:rFonts w:ascii="Times New Roman" w:hAnsi="Times New Roman"/>
          <w:sz w:val="22"/>
          <w:szCs w:val="22"/>
        </w:rPr>
        <w:t xml:space="preserve">S. L. </w:t>
      </w:r>
      <w:proofErr w:type="spellStart"/>
      <w:r w:rsidR="00F67353">
        <w:rPr>
          <w:rFonts w:ascii="Times New Roman" w:hAnsi="Times New Roman"/>
          <w:sz w:val="22"/>
          <w:szCs w:val="22"/>
        </w:rPr>
        <w:t>Pimlott</w:t>
      </w:r>
      <w:proofErr w:type="spellEnd"/>
      <w:r w:rsidR="00F67353">
        <w:rPr>
          <w:rFonts w:ascii="Times New Roman" w:hAnsi="Times New Roman"/>
          <w:sz w:val="22"/>
          <w:szCs w:val="22"/>
        </w:rPr>
        <w:t xml:space="preserve"> and A. Sutherland,</w:t>
      </w:r>
      <w:r w:rsidR="00FF6824" w:rsidRPr="00BD2C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6824" w:rsidRPr="00BD2C59">
        <w:rPr>
          <w:rFonts w:ascii="Times New Roman" w:hAnsi="Times New Roman"/>
          <w:i/>
          <w:sz w:val="22"/>
          <w:szCs w:val="22"/>
        </w:rPr>
        <w:t>Angew</w:t>
      </w:r>
      <w:proofErr w:type="spellEnd"/>
      <w:r w:rsidR="00FF6824" w:rsidRPr="00BD2C59">
        <w:rPr>
          <w:rFonts w:ascii="Times New Roman" w:hAnsi="Times New Roman"/>
          <w:i/>
          <w:sz w:val="22"/>
          <w:szCs w:val="22"/>
        </w:rPr>
        <w:t xml:space="preserve">. </w:t>
      </w:r>
      <w:proofErr w:type="gramStart"/>
      <w:r w:rsidR="00FF6824" w:rsidRPr="00BD2C59">
        <w:rPr>
          <w:rFonts w:ascii="Times New Roman" w:hAnsi="Times New Roman"/>
          <w:i/>
          <w:sz w:val="22"/>
          <w:szCs w:val="22"/>
        </w:rPr>
        <w:t>Chem. Int. Ed</w:t>
      </w:r>
      <w:r w:rsidR="00FF6824" w:rsidRPr="00BD2C59">
        <w:rPr>
          <w:rFonts w:ascii="Times New Roman" w:hAnsi="Times New Roman"/>
          <w:sz w:val="22"/>
          <w:szCs w:val="22"/>
        </w:rPr>
        <w:t>.</w:t>
      </w:r>
      <w:r w:rsidR="00F67353">
        <w:rPr>
          <w:rFonts w:ascii="Times New Roman" w:hAnsi="Times New Roman"/>
          <w:sz w:val="22"/>
          <w:szCs w:val="22"/>
        </w:rPr>
        <w:t>,</w:t>
      </w:r>
      <w:r w:rsidR="00FF6824" w:rsidRPr="00BD2C59">
        <w:rPr>
          <w:rFonts w:ascii="Times New Roman" w:hAnsi="Times New Roman"/>
          <w:sz w:val="22"/>
          <w:szCs w:val="22"/>
        </w:rPr>
        <w:t xml:space="preserve"> 2013, </w:t>
      </w:r>
      <w:r w:rsidR="00FF6824" w:rsidRPr="00BD2C59">
        <w:rPr>
          <w:rFonts w:ascii="Times New Roman" w:hAnsi="Times New Roman"/>
          <w:b/>
          <w:sz w:val="22"/>
          <w:szCs w:val="22"/>
        </w:rPr>
        <w:t>52</w:t>
      </w:r>
      <w:r w:rsidR="00F67353">
        <w:rPr>
          <w:rFonts w:ascii="Times New Roman" w:hAnsi="Times New Roman"/>
          <w:sz w:val="22"/>
          <w:szCs w:val="22"/>
        </w:rPr>
        <w:t>, 7829</w:t>
      </w:r>
      <w:r w:rsidR="00FF6824" w:rsidRPr="00BD2C59">
        <w:rPr>
          <w:rFonts w:ascii="Times New Roman" w:hAnsi="Times New Roman"/>
          <w:sz w:val="22"/>
          <w:szCs w:val="22"/>
        </w:rPr>
        <w:t>.</w:t>
      </w:r>
      <w:proofErr w:type="gramEnd"/>
    </w:p>
    <w:p w14:paraId="1B5A42D7" w14:textId="3106DB27" w:rsidR="00184B82" w:rsidRPr="00BD2C59" w:rsidRDefault="00C32B1A" w:rsidP="0095581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="006125E9" w:rsidRPr="006125E9">
        <w:rPr>
          <w:rFonts w:ascii="Times New Roman" w:hAnsi="Times New Roman"/>
          <w:sz w:val="22"/>
          <w:szCs w:val="22"/>
        </w:rPr>
        <w:t xml:space="preserve">D. T. </w:t>
      </w:r>
      <w:proofErr w:type="spellStart"/>
      <w:r w:rsidR="006125E9" w:rsidRPr="006125E9">
        <w:rPr>
          <w:rFonts w:ascii="Times New Roman" w:hAnsi="Times New Roman"/>
          <w:sz w:val="22"/>
          <w:szCs w:val="22"/>
        </w:rPr>
        <w:t>Racys</w:t>
      </w:r>
      <w:proofErr w:type="spellEnd"/>
      <w:r w:rsidR="006125E9" w:rsidRPr="006125E9">
        <w:rPr>
          <w:rFonts w:ascii="Times New Roman" w:hAnsi="Times New Roman"/>
          <w:sz w:val="22"/>
          <w:szCs w:val="22"/>
        </w:rPr>
        <w:t xml:space="preserve">, C. E. </w:t>
      </w:r>
      <w:proofErr w:type="spellStart"/>
      <w:r w:rsidR="006125E9" w:rsidRPr="006125E9">
        <w:rPr>
          <w:rFonts w:ascii="Times New Roman" w:hAnsi="Times New Roman"/>
          <w:sz w:val="22"/>
          <w:szCs w:val="22"/>
        </w:rPr>
        <w:t>Warrilow</w:t>
      </w:r>
      <w:proofErr w:type="spellEnd"/>
      <w:r w:rsidR="006125E9" w:rsidRPr="006125E9">
        <w:rPr>
          <w:rFonts w:ascii="Times New Roman" w:hAnsi="Times New Roman"/>
          <w:sz w:val="22"/>
          <w:szCs w:val="22"/>
        </w:rPr>
        <w:t xml:space="preserve">, S. L. </w:t>
      </w:r>
      <w:proofErr w:type="spellStart"/>
      <w:r w:rsidR="006125E9" w:rsidRPr="006125E9">
        <w:rPr>
          <w:rFonts w:ascii="Times New Roman" w:hAnsi="Times New Roman"/>
          <w:sz w:val="22"/>
          <w:szCs w:val="22"/>
        </w:rPr>
        <w:t>Pimlott</w:t>
      </w:r>
      <w:proofErr w:type="spellEnd"/>
      <w:r w:rsidR="006125E9" w:rsidRPr="006125E9">
        <w:rPr>
          <w:rFonts w:ascii="Times New Roman" w:hAnsi="Times New Roman"/>
          <w:sz w:val="22"/>
          <w:szCs w:val="22"/>
        </w:rPr>
        <w:t xml:space="preserve"> and A. Sutherland, </w:t>
      </w:r>
      <w:r w:rsidR="006125E9" w:rsidRPr="006125E9">
        <w:rPr>
          <w:rFonts w:ascii="Times New Roman" w:hAnsi="Times New Roman"/>
          <w:i/>
          <w:iCs/>
          <w:sz w:val="22"/>
          <w:szCs w:val="22"/>
        </w:rPr>
        <w:t>Org. Lett</w:t>
      </w:r>
      <w:r w:rsidR="006125E9" w:rsidRPr="006125E9">
        <w:rPr>
          <w:rFonts w:ascii="Times New Roman" w:hAnsi="Times New Roman"/>
          <w:sz w:val="22"/>
          <w:szCs w:val="22"/>
        </w:rPr>
        <w:t xml:space="preserve">., 2015, </w:t>
      </w:r>
      <w:r w:rsidR="006125E9" w:rsidRPr="006125E9">
        <w:rPr>
          <w:rFonts w:ascii="Times New Roman" w:hAnsi="Times New Roman"/>
          <w:b/>
          <w:sz w:val="22"/>
          <w:szCs w:val="22"/>
        </w:rPr>
        <w:t>17</w:t>
      </w:r>
      <w:r w:rsidR="006125E9" w:rsidRPr="006125E9">
        <w:rPr>
          <w:rFonts w:ascii="Times New Roman" w:hAnsi="Times New Roman"/>
          <w:sz w:val="22"/>
          <w:szCs w:val="22"/>
        </w:rPr>
        <w:t>, 4782</w:t>
      </w:r>
      <w:r w:rsidR="0095581C">
        <w:rPr>
          <w:rFonts w:ascii="Times New Roman" w:hAnsi="Times New Roman"/>
          <w:sz w:val="22"/>
          <w:szCs w:val="22"/>
        </w:rPr>
        <w:t>.</w:t>
      </w:r>
    </w:p>
    <w:sectPr w:rsidR="00184B82" w:rsidRPr="00BD2C59" w:rsidSect="00615BD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923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212CC5"/>
    <w:multiLevelType w:val="hybridMultilevel"/>
    <w:tmpl w:val="90D0131C"/>
    <w:lvl w:ilvl="0" w:tplc="E3501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BA"/>
    <w:rsid w:val="00014BEF"/>
    <w:rsid w:val="00025C2E"/>
    <w:rsid w:val="00066584"/>
    <w:rsid w:val="000F25DB"/>
    <w:rsid w:val="00115CBA"/>
    <w:rsid w:val="00163E5E"/>
    <w:rsid w:val="00184B82"/>
    <w:rsid w:val="00275848"/>
    <w:rsid w:val="003421D6"/>
    <w:rsid w:val="0035252C"/>
    <w:rsid w:val="00364041"/>
    <w:rsid w:val="003863F1"/>
    <w:rsid w:val="003B5416"/>
    <w:rsid w:val="003F4EB8"/>
    <w:rsid w:val="003F6EF7"/>
    <w:rsid w:val="00433AC6"/>
    <w:rsid w:val="00451275"/>
    <w:rsid w:val="00475515"/>
    <w:rsid w:val="00534970"/>
    <w:rsid w:val="0054641E"/>
    <w:rsid w:val="006125E9"/>
    <w:rsid w:val="00613FB4"/>
    <w:rsid w:val="00615BDC"/>
    <w:rsid w:val="006233A4"/>
    <w:rsid w:val="0064264D"/>
    <w:rsid w:val="0066404E"/>
    <w:rsid w:val="00674B74"/>
    <w:rsid w:val="006B6161"/>
    <w:rsid w:val="006D606F"/>
    <w:rsid w:val="006E25EE"/>
    <w:rsid w:val="007714EB"/>
    <w:rsid w:val="00772057"/>
    <w:rsid w:val="007F1A91"/>
    <w:rsid w:val="008328F7"/>
    <w:rsid w:val="008834A1"/>
    <w:rsid w:val="00883AB6"/>
    <w:rsid w:val="008A383D"/>
    <w:rsid w:val="008A3E1F"/>
    <w:rsid w:val="008D3297"/>
    <w:rsid w:val="008F111F"/>
    <w:rsid w:val="008F643A"/>
    <w:rsid w:val="00936735"/>
    <w:rsid w:val="0095581C"/>
    <w:rsid w:val="009C3EA9"/>
    <w:rsid w:val="009E019B"/>
    <w:rsid w:val="00A36586"/>
    <w:rsid w:val="00B71EF6"/>
    <w:rsid w:val="00B9120A"/>
    <w:rsid w:val="00B9420A"/>
    <w:rsid w:val="00B97F31"/>
    <w:rsid w:val="00BD2C59"/>
    <w:rsid w:val="00BF7C78"/>
    <w:rsid w:val="00C32B1A"/>
    <w:rsid w:val="00C648A9"/>
    <w:rsid w:val="00C9265A"/>
    <w:rsid w:val="00CA31B5"/>
    <w:rsid w:val="00CB4E07"/>
    <w:rsid w:val="00CD4E76"/>
    <w:rsid w:val="00CE794D"/>
    <w:rsid w:val="00CF3AD2"/>
    <w:rsid w:val="00D040DF"/>
    <w:rsid w:val="00D04C12"/>
    <w:rsid w:val="00D12617"/>
    <w:rsid w:val="00D14B9D"/>
    <w:rsid w:val="00DC0462"/>
    <w:rsid w:val="00DD5865"/>
    <w:rsid w:val="00E32406"/>
    <w:rsid w:val="00E4393C"/>
    <w:rsid w:val="00F11AC2"/>
    <w:rsid w:val="00F13399"/>
    <w:rsid w:val="00F67353"/>
    <w:rsid w:val="00F82816"/>
    <w:rsid w:val="00FA65F8"/>
    <w:rsid w:val="00FE59E4"/>
    <w:rsid w:val="00FE5EBB"/>
    <w:rsid w:val="00FE73E6"/>
    <w:rsid w:val="00FF3045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CD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115CBA"/>
    <w:pPr>
      <w:suppressAutoHyphens/>
      <w:overflowPunct w:val="0"/>
      <w:autoSpaceDE w:val="0"/>
      <w:textAlignment w:val="baseline"/>
    </w:pPr>
    <w:rPr>
      <w:rFonts w:ascii="Palatino" w:hAnsi="Palatino"/>
      <w:sz w:val="24"/>
      <w:lang w:eastAsia="ar-SA"/>
    </w:rPr>
  </w:style>
  <w:style w:type="paragraph" w:styleId="Heading1">
    <w:name w:val="heading 1"/>
    <w:basedOn w:val="Normal"/>
    <w:next w:val="Normal"/>
    <w:qFormat/>
    <w:rsid w:val="00115CBA"/>
    <w:pPr>
      <w:keepNext/>
      <w:numPr>
        <w:numId w:val="1"/>
      </w:numPr>
      <w:tabs>
        <w:tab w:val="left" w:pos="1296"/>
        <w:tab w:val="left" w:pos="3686"/>
        <w:tab w:val="left" w:pos="4606"/>
        <w:tab w:val="left" w:pos="6480"/>
      </w:tabs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CBA"/>
    <w:rPr>
      <w:color w:val="0000FF"/>
      <w:u w:val="single"/>
    </w:rPr>
  </w:style>
  <w:style w:type="character" w:styleId="Emphasis">
    <w:name w:val="Emphasis"/>
    <w:qFormat/>
    <w:rsid w:val="00115CBA"/>
    <w:rPr>
      <w:i/>
      <w:iCs/>
    </w:rPr>
  </w:style>
  <w:style w:type="paragraph" w:styleId="NormalWeb">
    <w:name w:val="Normal (Web)"/>
    <w:basedOn w:val="Normal"/>
    <w:rsid w:val="00115CBA"/>
    <w:pPr>
      <w:overflowPunct/>
      <w:autoSpaceDE/>
      <w:spacing w:before="100" w:after="100"/>
      <w:textAlignment w:val="auto"/>
    </w:pPr>
    <w:rPr>
      <w:rFonts w:ascii="Times New Roman" w:hAnsi="Times New Roman"/>
      <w:color w:val="000000"/>
      <w:szCs w:val="24"/>
    </w:rPr>
  </w:style>
  <w:style w:type="paragraph" w:styleId="BodyTextIndent3">
    <w:name w:val="Body Text Indent 3"/>
    <w:basedOn w:val="Normal"/>
    <w:rsid w:val="00115CB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B6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161"/>
    <w:rPr>
      <w:rFonts w:ascii="Lucida Grande" w:hAnsi="Lucida Grande" w:cs="Lucida Grande"/>
      <w:sz w:val="18"/>
      <w:szCs w:val="18"/>
      <w:lang w:eastAsia="ar-SA"/>
    </w:rPr>
  </w:style>
  <w:style w:type="paragraph" w:customStyle="1" w:styleId="RSCB02ArticleText">
    <w:name w:val="RSC B02 Article Text"/>
    <w:basedOn w:val="Normal"/>
    <w:link w:val="RSCB02ArticleTextChar"/>
    <w:qFormat/>
    <w:rsid w:val="00BD2C59"/>
    <w:pPr>
      <w:tabs>
        <w:tab w:val="left" w:pos="284"/>
      </w:tabs>
      <w:suppressAutoHyphens w:val="0"/>
      <w:overflowPunct/>
      <w:autoSpaceDE/>
      <w:spacing w:line="240" w:lineRule="exact"/>
      <w:jc w:val="both"/>
      <w:textAlignment w:val="auto"/>
    </w:pPr>
    <w:rPr>
      <w:rFonts w:asciiTheme="minorHAnsi" w:eastAsiaTheme="minorHAnsi" w:hAnsiTheme="minorHAnsi"/>
      <w:w w:val="108"/>
      <w:sz w:val="18"/>
      <w:szCs w:val="18"/>
      <w:lang w:eastAsia="en-US"/>
    </w:rPr>
  </w:style>
  <w:style w:type="character" w:customStyle="1" w:styleId="RSCB02ArticleTextChar">
    <w:name w:val="RSC B02 Article Text Char"/>
    <w:basedOn w:val="DefaultParagraphFont"/>
    <w:link w:val="RSCB02ArticleText"/>
    <w:rsid w:val="00BD2C59"/>
    <w:rPr>
      <w:rFonts w:asciiTheme="minorHAnsi" w:eastAsiaTheme="minorHAnsi" w:hAnsiTheme="minorHAnsi"/>
      <w:w w:val="10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115CBA"/>
    <w:pPr>
      <w:suppressAutoHyphens/>
      <w:overflowPunct w:val="0"/>
      <w:autoSpaceDE w:val="0"/>
      <w:textAlignment w:val="baseline"/>
    </w:pPr>
    <w:rPr>
      <w:rFonts w:ascii="Palatino" w:hAnsi="Palatino"/>
      <w:sz w:val="24"/>
      <w:lang w:eastAsia="ar-SA"/>
    </w:rPr>
  </w:style>
  <w:style w:type="paragraph" w:styleId="Heading1">
    <w:name w:val="heading 1"/>
    <w:basedOn w:val="Normal"/>
    <w:next w:val="Normal"/>
    <w:qFormat/>
    <w:rsid w:val="00115CBA"/>
    <w:pPr>
      <w:keepNext/>
      <w:numPr>
        <w:numId w:val="1"/>
      </w:numPr>
      <w:tabs>
        <w:tab w:val="left" w:pos="1296"/>
        <w:tab w:val="left" w:pos="3686"/>
        <w:tab w:val="left" w:pos="4606"/>
        <w:tab w:val="left" w:pos="6480"/>
      </w:tabs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CBA"/>
    <w:rPr>
      <w:color w:val="0000FF"/>
      <w:u w:val="single"/>
    </w:rPr>
  </w:style>
  <w:style w:type="character" w:styleId="Emphasis">
    <w:name w:val="Emphasis"/>
    <w:qFormat/>
    <w:rsid w:val="00115CBA"/>
    <w:rPr>
      <w:i/>
      <w:iCs/>
    </w:rPr>
  </w:style>
  <w:style w:type="paragraph" w:styleId="NormalWeb">
    <w:name w:val="Normal (Web)"/>
    <w:basedOn w:val="Normal"/>
    <w:rsid w:val="00115CBA"/>
    <w:pPr>
      <w:overflowPunct/>
      <w:autoSpaceDE/>
      <w:spacing w:before="100" w:after="100"/>
      <w:textAlignment w:val="auto"/>
    </w:pPr>
    <w:rPr>
      <w:rFonts w:ascii="Times New Roman" w:hAnsi="Times New Roman"/>
      <w:color w:val="000000"/>
      <w:szCs w:val="24"/>
    </w:rPr>
  </w:style>
  <w:style w:type="paragraph" w:styleId="BodyTextIndent3">
    <w:name w:val="Body Text Indent 3"/>
    <w:basedOn w:val="Normal"/>
    <w:rsid w:val="00115CBA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B6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161"/>
    <w:rPr>
      <w:rFonts w:ascii="Lucida Grande" w:hAnsi="Lucida Grande" w:cs="Lucida Grande"/>
      <w:sz w:val="18"/>
      <w:szCs w:val="18"/>
      <w:lang w:eastAsia="ar-SA"/>
    </w:rPr>
  </w:style>
  <w:style w:type="paragraph" w:customStyle="1" w:styleId="RSCB02ArticleText">
    <w:name w:val="RSC B02 Article Text"/>
    <w:basedOn w:val="Normal"/>
    <w:link w:val="RSCB02ArticleTextChar"/>
    <w:qFormat/>
    <w:rsid w:val="00BD2C59"/>
    <w:pPr>
      <w:tabs>
        <w:tab w:val="left" w:pos="284"/>
      </w:tabs>
      <w:suppressAutoHyphens w:val="0"/>
      <w:overflowPunct/>
      <w:autoSpaceDE/>
      <w:spacing w:line="240" w:lineRule="exact"/>
      <w:jc w:val="both"/>
      <w:textAlignment w:val="auto"/>
    </w:pPr>
    <w:rPr>
      <w:rFonts w:asciiTheme="minorHAnsi" w:eastAsiaTheme="minorHAnsi" w:hAnsiTheme="minorHAnsi"/>
      <w:w w:val="108"/>
      <w:sz w:val="18"/>
      <w:szCs w:val="18"/>
      <w:lang w:eastAsia="en-US"/>
    </w:rPr>
  </w:style>
  <w:style w:type="character" w:customStyle="1" w:styleId="RSCB02ArticleTextChar">
    <w:name w:val="RSC B02 Article Text Char"/>
    <w:basedOn w:val="DefaultParagraphFont"/>
    <w:link w:val="RSCB02ArticleText"/>
    <w:rsid w:val="00BD2C59"/>
    <w:rPr>
      <w:rFonts w:asciiTheme="minorHAnsi" w:eastAsiaTheme="minorHAnsi" w:hAnsiTheme="minorHAnsi"/>
      <w:w w:val="10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349291A0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Carbon-14 radiosynthesis of 4-(5-chloro-2-hydroxyphenyl)-3-(2-hydroxyethyl)-6-(trifluoromethyl)-[4-14C]quinolin-2(1H)-one (XEN-D0401), a novel BK channel activator</vt:lpstr>
    </vt:vector>
  </TitlesOfParts>
  <Company>TOSHIBA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Carbon-14 radiosynthesis of 4-(5-chloro-2-hydroxyphenyl)-3-(2-hydroxyethyl)-6-(trifluoromethyl)-[4-14C]quinolin-2(1H)-one (XEN-D0401), a novel BK channel activator</dc:title>
  <dc:creator>Bill</dc:creator>
  <cp:lastModifiedBy>Nothard, Genna</cp:lastModifiedBy>
  <cp:revision>2</cp:revision>
  <dcterms:created xsi:type="dcterms:W3CDTF">2015-11-16T10:16:00Z</dcterms:created>
  <dcterms:modified xsi:type="dcterms:W3CDTF">2015-11-16T10:16:00Z</dcterms:modified>
</cp:coreProperties>
</file>