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06E4" w14:textId="6B3557C9" w:rsidR="00916164" w:rsidRDefault="005A6C1D" w:rsidP="00D25983">
      <w:pPr>
        <w:jc w:val="center"/>
        <w:rPr>
          <w:rFonts w:asciiTheme="majorHAnsi" w:hAnsiTheme="majorHAnsi" w:cstheme="majorHAnsi"/>
          <w:b/>
          <w:bCs/>
          <w:sz w:val="28"/>
          <w:szCs w:val="28"/>
        </w:rPr>
      </w:pPr>
      <w:r>
        <w:rPr>
          <w:rFonts w:asciiTheme="majorHAnsi" w:hAnsiTheme="majorHAnsi" w:cstheme="majorHAnsi"/>
          <w:b/>
          <w:bCs/>
          <w:noProof/>
          <w:sz w:val="28"/>
          <w:szCs w:val="28"/>
        </w:rPr>
        <w:drawing>
          <wp:anchor distT="0" distB="0" distL="114300" distR="114300" simplePos="0" relativeHeight="251658240" behindDoc="0" locked="0" layoutInCell="1" allowOverlap="1" wp14:anchorId="377E3D2F" wp14:editId="6B3B1B56">
            <wp:simplePos x="1144402" y="914400"/>
            <wp:positionH relativeFrom="margin">
              <wp:align>center</wp:align>
            </wp:positionH>
            <wp:positionV relativeFrom="margin">
              <wp:align>top</wp:align>
            </wp:positionV>
            <wp:extent cx="6352540" cy="6718300"/>
            <wp:effectExtent l="0" t="0" r="0" b="0"/>
            <wp:wrapSquare wrapText="bothSides"/>
            <wp:docPr id="847120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2540" cy="6718300"/>
                    </a:xfrm>
                    <a:prstGeom prst="rect">
                      <a:avLst/>
                    </a:prstGeom>
                    <a:noFill/>
                  </pic:spPr>
                </pic:pic>
              </a:graphicData>
            </a:graphic>
          </wp:anchor>
        </w:drawing>
      </w:r>
    </w:p>
    <w:p w14:paraId="551A499C" w14:textId="77777777" w:rsidR="005A6C1D" w:rsidRDefault="005A6C1D" w:rsidP="00D25983">
      <w:pPr>
        <w:jc w:val="center"/>
        <w:rPr>
          <w:rFonts w:asciiTheme="majorHAnsi" w:hAnsiTheme="majorHAnsi" w:cstheme="majorHAnsi"/>
          <w:b/>
          <w:bCs/>
          <w:sz w:val="28"/>
          <w:szCs w:val="28"/>
        </w:rPr>
      </w:pPr>
    </w:p>
    <w:p w14:paraId="0CA0E5E6" w14:textId="77777777" w:rsidR="005A6C1D" w:rsidRDefault="005A6C1D" w:rsidP="00D25983">
      <w:pPr>
        <w:jc w:val="center"/>
        <w:rPr>
          <w:rFonts w:asciiTheme="majorHAnsi" w:hAnsiTheme="majorHAnsi" w:cstheme="majorHAnsi"/>
          <w:b/>
          <w:bCs/>
          <w:sz w:val="28"/>
          <w:szCs w:val="28"/>
        </w:rPr>
      </w:pPr>
    </w:p>
    <w:p w14:paraId="35E3AFCD" w14:textId="77777777" w:rsidR="00EC7869" w:rsidRDefault="00EC7869" w:rsidP="00EC7869">
      <w:pPr>
        <w:rPr>
          <w:rFonts w:asciiTheme="majorHAnsi" w:hAnsiTheme="majorHAnsi" w:cstheme="majorHAnsi"/>
          <w:b/>
          <w:bCs/>
          <w:sz w:val="28"/>
          <w:szCs w:val="28"/>
        </w:rPr>
      </w:pPr>
    </w:p>
    <w:p w14:paraId="104BE297" w14:textId="79C5D75B" w:rsidR="00D56469" w:rsidRPr="00D25983" w:rsidRDefault="00312426" w:rsidP="00EC7869">
      <w:pPr>
        <w:jc w:val="center"/>
        <w:rPr>
          <w:rFonts w:asciiTheme="majorHAnsi" w:hAnsiTheme="majorHAnsi" w:cstheme="majorHAnsi"/>
          <w:b/>
          <w:bCs/>
          <w:sz w:val="28"/>
          <w:szCs w:val="28"/>
        </w:rPr>
      </w:pPr>
      <w:r w:rsidRPr="00D25983">
        <w:rPr>
          <w:rFonts w:asciiTheme="majorHAnsi" w:hAnsiTheme="majorHAnsi" w:cstheme="majorHAnsi"/>
          <w:b/>
          <w:bCs/>
          <w:sz w:val="28"/>
          <w:szCs w:val="28"/>
        </w:rPr>
        <w:lastRenderedPageBreak/>
        <w:t>Abstracts</w:t>
      </w:r>
    </w:p>
    <w:p w14:paraId="64DC1A32" w14:textId="1EC13855" w:rsidR="005A6C1D" w:rsidRDefault="005A6C1D" w:rsidP="002B060B">
      <w:pPr>
        <w:spacing w:after="0"/>
        <w:jc w:val="center"/>
        <w:rPr>
          <w:rFonts w:asciiTheme="majorHAnsi" w:hAnsiTheme="majorHAnsi" w:cstheme="majorHAnsi"/>
          <w:b/>
          <w:bCs/>
          <w:sz w:val="28"/>
          <w:szCs w:val="28"/>
        </w:rPr>
      </w:pPr>
      <w:r w:rsidRPr="005A6C1D">
        <w:rPr>
          <w:rFonts w:asciiTheme="majorHAnsi" w:hAnsiTheme="majorHAnsi" w:cstheme="majorHAnsi"/>
          <w:b/>
          <w:bCs/>
          <w:sz w:val="28"/>
          <w:szCs w:val="28"/>
        </w:rPr>
        <w:t>Sustainable manufacturing of optical metasurfaces with engineered optical materials</w:t>
      </w:r>
    </w:p>
    <w:p w14:paraId="06306467" w14:textId="77777777" w:rsidR="005A6C1D" w:rsidRPr="00EC7869" w:rsidRDefault="005A6C1D" w:rsidP="002B060B">
      <w:pPr>
        <w:spacing w:after="0"/>
        <w:jc w:val="center"/>
        <w:rPr>
          <w:rFonts w:asciiTheme="majorHAnsi" w:hAnsiTheme="majorHAnsi" w:cstheme="majorHAnsi"/>
          <w:i/>
          <w:iCs/>
          <w:sz w:val="24"/>
          <w:szCs w:val="24"/>
        </w:rPr>
      </w:pPr>
      <w:r w:rsidRPr="00EC7869">
        <w:rPr>
          <w:rFonts w:asciiTheme="majorHAnsi" w:hAnsiTheme="majorHAnsi" w:cstheme="majorHAnsi"/>
          <w:i/>
          <w:iCs/>
          <w:sz w:val="24"/>
          <w:szCs w:val="24"/>
        </w:rPr>
        <w:t>Junsuk Rho</w:t>
      </w:r>
    </w:p>
    <w:p w14:paraId="6805172D" w14:textId="77777777" w:rsidR="005A6C1D" w:rsidRPr="00EC7869" w:rsidRDefault="005A6C1D" w:rsidP="005A6C1D">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t>Department of Chemical Engineering, Pohang University of Science and Technology (POSTECH), Pohang, Republic of Korea</w:t>
      </w:r>
    </w:p>
    <w:p w14:paraId="2657138F" w14:textId="77777777" w:rsidR="005A6C1D" w:rsidRPr="00EC7869" w:rsidRDefault="005A6C1D" w:rsidP="005A6C1D">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t>Department of Electrical Engineering, Pohang University of Science and Technology (POSTECH), Pohang, Republic of Korea</w:t>
      </w:r>
    </w:p>
    <w:p w14:paraId="4534D335" w14:textId="77777777" w:rsidR="005A6C1D" w:rsidRPr="00EC7869" w:rsidRDefault="005A6C1D" w:rsidP="005A6C1D">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t>POSCO-POSTECH-RIST Convergence Research Center for Flat Optics and Metaphotonics, Pohang, Republic of Korea</w:t>
      </w:r>
    </w:p>
    <w:p w14:paraId="7C5E27B7" w14:textId="542A6581" w:rsidR="00EC7869" w:rsidRPr="00EC7869" w:rsidRDefault="00EC7869" w:rsidP="00EC7869">
      <w:pPr>
        <w:spacing w:after="0"/>
        <w:jc w:val="center"/>
        <w:rPr>
          <w:rFonts w:asciiTheme="majorHAnsi" w:hAnsiTheme="majorHAnsi" w:cstheme="majorHAnsi"/>
          <w:i/>
          <w:iCs/>
          <w:sz w:val="20"/>
          <w:szCs w:val="20"/>
        </w:rPr>
      </w:pPr>
      <w:hyperlink r:id="rId7" w:history="1">
        <w:r w:rsidRPr="00EC7869">
          <w:rPr>
            <w:rStyle w:val="Hyperlink"/>
            <w:rFonts w:asciiTheme="majorHAnsi" w:hAnsiTheme="majorHAnsi" w:cstheme="majorHAnsi"/>
            <w:i/>
            <w:iCs/>
            <w:sz w:val="20"/>
            <w:szCs w:val="20"/>
          </w:rPr>
          <w:t>jsrho@postech.ac.kr</w:t>
        </w:r>
      </w:hyperlink>
    </w:p>
    <w:p w14:paraId="7E02DA50" w14:textId="6390FF2B" w:rsidR="002B060B" w:rsidRDefault="005A6C1D" w:rsidP="005A6C1D">
      <w:pPr>
        <w:spacing w:after="0"/>
        <w:jc w:val="both"/>
        <w:rPr>
          <w:rFonts w:asciiTheme="majorHAnsi" w:hAnsiTheme="majorHAnsi" w:cstheme="majorHAnsi"/>
          <w:lang w:val="en-GB"/>
        </w:rPr>
      </w:pPr>
      <w:r w:rsidRPr="005A6C1D">
        <w:rPr>
          <w:rFonts w:asciiTheme="majorHAnsi" w:hAnsiTheme="majorHAnsi" w:cstheme="majorHAnsi"/>
          <w:lang w:val="en-GB"/>
        </w:rPr>
        <w:t xml:space="preserve">Metasurfaces offer unprecedented control of amplitude, phase, and polarization while maintaining an ultrathin form factor. Despite these advantages, their reliance on nanoscale building blocks requires high resolution patterning. Conventional fabrication approaches such as electron beam lithography are based on direct writing, which suffers from low throughput and high cost, and is therefore not sustainable for large scale deployment. To address these limitations, we develop engineered optical materials that are fully compatible with nanoimprint lithography, enabling single step manufacturing of metasurfaces with scalable, low cost, and high throughput production. The first engineered optical material is a nanoparticle embedded resin, PER, created by dispersing high index nanoparticles into a resin to increase its effective refractive index while maintaining imprint compatibility. By choosing nanoparticles with appropriate optical properties, PERs can be tailored for different spectral ranges. TiO2 PER provides high index performance in the visible region, ZrO2 PER offers a wide bandgap and transparency in the ultraviolet, and Si PER enables high index operation in the near infrared. Using these PER, metasurfaces across a wide wavelength range can be produced in a single imprinting step. The second engineered optical material is a hybrid material in which a thin high index coating is deposited on the imprinted resin structures. This approach significantly increases the effective refractive index of the entire nanostructure. Depending on the target wavelength range, ZrO2 hybrid materials are used for ultraviolet operation and TiO2 hybrid materials are used for visible wavelengths. The third engineered optical material is a sol-gel based material that forms TiO2 structures through thermal sintering after imprinting. This method is well suited for fabricating high index metasurfaces and allows control of the TiO2 crystal phase, including anatase and rutile, by adjusting the curing temperature, thereby enabling high performance metasurface implementations. The fourth engineered optical material expands functionality by modifying either the matrix or the inclusions with functional species. Using polyvinyl alcohol as a humidity responsive matrix enables tunable metasurfaces, while hydroxypropyl cellulose allows fabrication of water soluble and environmentally friendly labels. Replacing the inclusions with quantum dots enables directional control of photoluminescence for active optical functionalities. All of these engineered optical materials can be replicated through wafer scale master molds fabricated by photolithography, enabling large area and high-volume production. Furthermore, nanoimprint lithography systems are being advanced from plate-to-plate configurations toward roll-to-plate </w:t>
      </w:r>
      <w:r w:rsidRPr="005A6C1D">
        <w:rPr>
          <w:rFonts w:asciiTheme="majorHAnsi" w:hAnsiTheme="majorHAnsi" w:cstheme="majorHAnsi"/>
          <w:lang w:val="en-GB"/>
        </w:rPr>
        <w:lastRenderedPageBreak/>
        <w:t>and roll-to-roll systems, achieving higher yield, improved process automation, and increased throughput, bringing metasurface manufacturing closer to industrial scale. These mass producible metasurfaces are applicable to diverse technologies including VR/AR displays, 3D displays, 3D sensors, LiDAR, and compact imaging systems.</w:t>
      </w:r>
    </w:p>
    <w:p w14:paraId="4E89759C" w14:textId="4771F2B7" w:rsidR="005A6C1D" w:rsidRPr="005A6C1D" w:rsidRDefault="005A6C1D" w:rsidP="005A6C1D">
      <w:pPr>
        <w:spacing w:after="0"/>
        <w:jc w:val="both"/>
        <w:rPr>
          <w:rFonts w:asciiTheme="majorHAnsi" w:hAnsiTheme="majorHAnsi" w:cstheme="majorHAnsi"/>
          <w:b/>
        </w:rPr>
      </w:pPr>
      <w:r w:rsidRPr="005A6C1D">
        <w:rPr>
          <w:rFonts w:asciiTheme="majorHAnsi" w:hAnsiTheme="majorHAnsi" w:cstheme="majorHAnsi"/>
          <w:b/>
        </w:rPr>
        <w:t>Biography</w:t>
      </w:r>
    </w:p>
    <w:p w14:paraId="592ABD58" w14:textId="00DC7539" w:rsidR="005A6C1D" w:rsidRPr="005A6C1D" w:rsidRDefault="005A6C1D" w:rsidP="005A6C1D">
      <w:pPr>
        <w:spacing w:after="0"/>
        <w:jc w:val="both"/>
        <w:rPr>
          <w:rFonts w:asciiTheme="majorHAnsi" w:hAnsiTheme="majorHAnsi" w:cstheme="majorHAnsi"/>
          <w:b/>
        </w:rPr>
      </w:pPr>
      <w:r w:rsidRPr="005A6C1D">
        <w:rPr>
          <w:rFonts w:asciiTheme="majorHAnsi" w:hAnsiTheme="majorHAnsi" w:cstheme="majorHAnsi"/>
        </w:rPr>
        <w:drawing>
          <wp:anchor distT="0" distB="0" distL="114300" distR="114300" simplePos="0" relativeHeight="251660288" behindDoc="0" locked="0" layoutInCell="1" allowOverlap="1" wp14:anchorId="627FBAB6" wp14:editId="3FDF9ED0">
            <wp:simplePos x="0" y="0"/>
            <wp:positionH relativeFrom="column">
              <wp:posOffset>0</wp:posOffset>
            </wp:positionH>
            <wp:positionV relativeFrom="paragraph">
              <wp:posOffset>-2540</wp:posOffset>
            </wp:positionV>
            <wp:extent cx="895985" cy="1257300"/>
            <wp:effectExtent l="0" t="0" r="0" b="0"/>
            <wp:wrapSquare wrapText="bothSides"/>
            <wp:docPr id="1106627470" name="Picture 4" descr="https://lh3.googleusercontent.com/9FXh78Y-BriDEcpTEcF-fr_uWQqZH8LJ9wfwhCkBY0rG5bzvVRZRzGBKoJcj9jmM61HKx4IjTBZzuogp3QF78uxgYq-5MhITUbFtLykscV6apsXnHKDr4EaXuVYBCVTe_Q=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https://lh3.googleusercontent.com/9FXh78Y-BriDEcpTEcF-fr_uWQqZH8LJ9wfwhCkBY0rG5bzvVRZRzGBKoJcj9jmM61HKx4IjTBZzuogp3QF78uxgYq-5MhITUbFtLykscV6apsXnHKDr4EaXuVYBCVTe_Q=w12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985" cy="1257300"/>
                    </a:xfrm>
                    <a:prstGeom prst="rect">
                      <a:avLst/>
                    </a:prstGeom>
                    <a:noFill/>
                  </pic:spPr>
                </pic:pic>
              </a:graphicData>
            </a:graphic>
            <wp14:sizeRelH relativeFrom="margin">
              <wp14:pctWidth>0</wp14:pctWidth>
            </wp14:sizeRelH>
            <wp14:sizeRelV relativeFrom="margin">
              <wp14:pctHeight>0</wp14:pctHeight>
            </wp14:sizeRelV>
          </wp:anchor>
        </w:drawing>
      </w:r>
      <w:r w:rsidRPr="005A6C1D">
        <w:rPr>
          <w:rFonts w:asciiTheme="majorHAnsi" w:hAnsiTheme="majorHAnsi" w:cstheme="majorHAnsi"/>
          <w:b/>
        </w:rPr>
        <w:t>Education:</w:t>
      </w:r>
    </w:p>
    <w:p w14:paraId="57AEC204" w14:textId="77777777" w:rsidR="005A6C1D" w:rsidRPr="005A6C1D" w:rsidRDefault="005A6C1D" w:rsidP="005A6C1D">
      <w:pPr>
        <w:spacing w:after="0"/>
        <w:jc w:val="both"/>
        <w:rPr>
          <w:rFonts w:asciiTheme="majorHAnsi" w:hAnsiTheme="majorHAnsi" w:cstheme="majorHAnsi"/>
        </w:rPr>
      </w:pPr>
      <w:r w:rsidRPr="005A6C1D">
        <w:rPr>
          <w:rFonts w:asciiTheme="majorHAnsi" w:hAnsiTheme="majorHAnsi" w:cstheme="majorHAnsi"/>
        </w:rPr>
        <w:t xml:space="preserve">Ph.D. in Mechanical Engineering with designated emphasis in Nanoscale Science and Engineering (Minor: Electrical Engineering and Bioengineering), </w:t>
      </w:r>
      <w:r w:rsidRPr="005A6C1D">
        <w:rPr>
          <w:rFonts w:asciiTheme="majorHAnsi" w:hAnsiTheme="majorHAnsi" w:cstheme="majorHAnsi"/>
          <w:b/>
        </w:rPr>
        <w:t>University of California, Berkeley</w:t>
      </w:r>
      <w:r w:rsidRPr="005A6C1D">
        <w:rPr>
          <w:rFonts w:asciiTheme="majorHAnsi" w:hAnsiTheme="majorHAnsi" w:cstheme="majorHAnsi"/>
        </w:rPr>
        <w:t>, 2013</w:t>
      </w:r>
    </w:p>
    <w:p w14:paraId="6656069E" w14:textId="77777777" w:rsidR="005A6C1D" w:rsidRPr="005A6C1D" w:rsidRDefault="005A6C1D" w:rsidP="005A6C1D">
      <w:pPr>
        <w:spacing w:after="0"/>
        <w:jc w:val="both"/>
        <w:rPr>
          <w:rFonts w:asciiTheme="majorHAnsi" w:hAnsiTheme="majorHAnsi" w:cstheme="majorHAnsi"/>
        </w:rPr>
      </w:pPr>
      <w:r w:rsidRPr="005A6C1D">
        <w:rPr>
          <w:rFonts w:asciiTheme="majorHAnsi" w:hAnsiTheme="majorHAnsi" w:cstheme="majorHAnsi"/>
        </w:rPr>
        <w:t xml:space="preserve">M.S. in Mechanical Science and Engineering, </w:t>
      </w:r>
      <w:r w:rsidRPr="005A6C1D">
        <w:rPr>
          <w:rFonts w:asciiTheme="majorHAnsi" w:hAnsiTheme="majorHAnsi" w:cstheme="majorHAnsi"/>
          <w:b/>
        </w:rPr>
        <w:t>University of Illinois, Urbana-Champaign</w:t>
      </w:r>
      <w:r w:rsidRPr="005A6C1D">
        <w:rPr>
          <w:rFonts w:asciiTheme="majorHAnsi" w:hAnsiTheme="majorHAnsi" w:cstheme="majorHAnsi"/>
        </w:rPr>
        <w:t>, 2008</w:t>
      </w:r>
    </w:p>
    <w:p w14:paraId="0D48BC36" w14:textId="77777777" w:rsidR="005A6C1D" w:rsidRPr="005A6C1D" w:rsidRDefault="005A6C1D" w:rsidP="005A6C1D">
      <w:pPr>
        <w:spacing w:after="0"/>
        <w:jc w:val="both"/>
        <w:rPr>
          <w:rFonts w:asciiTheme="majorHAnsi" w:hAnsiTheme="majorHAnsi" w:cstheme="majorHAnsi"/>
        </w:rPr>
      </w:pPr>
      <w:r w:rsidRPr="005A6C1D">
        <w:rPr>
          <w:rFonts w:asciiTheme="majorHAnsi" w:hAnsiTheme="majorHAnsi" w:cstheme="majorHAnsi"/>
        </w:rPr>
        <w:t xml:space="preserve">B.S. in Mechanical and Aerospace Engineering, </w:t>
      </w:r>
      <w:r w:rsidRPr="005A6C1D">
        <w:rPr>
          <w:rFonts w:asciiTheme="majorHAnsi" w:hAnsiTheme="majorHAnsi" w:cstheme="majorHAnsi"/>
          <w:b/>
        </w:rPr>
        <w:t>Seoul National University</w:t>
      </w:r>
      <w:r w:rsidRPr="005A6C1D">
        <w:rPr>
          <w:rFonts w:asciiTheme="majorHAnsi" w:hAnsiTheme="majorHAnsi" w:cstheme="majorHAnsi"/>
        </w:rPr>
        <w:t>, 2007</w:t>
      </w:r>
    </w:p>
    <w:p w14:paraId="6AD05A99" w14:textId="77777777" w:rsidR="005A6C1D" w:rsidRPr="005A6C1D" w:rsidRDefault="005A6C1D" w:rsidP="005A6C1D">
      <w:pPr>
        <w:spacing w:after="0"/>
        <w:jc w:val="both"/>
        <w:rPr>
          <w:rFonts w:asciiTheme="majorHAnsi" w:hAnsiTheme="majorHAnsi" w:cstheme="majorHAnsi"/>
        </w:rPr>
      </w:pPr>
      <w:r w:rsidRPr="005A6C1D">
        <w:rPr>
          <w:rFonts w:asciiTheme="majorHAnsi" w:hAnsiTheme="majorHAnsi" w:cstheme="majorHAnsi"/>
        </w:rPr>
        <w:t xml:space="preserve">Prof. Rho is a </w:t>
      </w:r>
      <w:r w:rsidRPr="005A6C1D">
        <w:rPr>
          <w:rFonts w:asciiTheme="majorHAnsi" w:hAnsiTheme="majorHAnsi" w:cstheme="majorHAnsi"/>
          <w:i/>
        </w:rPr>
        <w:t>Yeon-San</w:t>
      </w:r>
      <w:r w:rsidRPr="005A6C1D">
        <w:rPr>
          <w:rFonts w:asciiTheme="majorHAnsi" w:hAnsiTheme="majorHAnsi" w:cstheme="majorHAnsi"/>
        </w:rPr>
        <w:t xml:space="preserve"> (</w:t>
      </w:r>
      <w:r w:rsidRPr="005A6C1D">
        <w:rPr>
          <w:rFonts w:asciiTheme="majorHAnsi" w:hAnsiTheme="majorHAnsi" w:cstheme="majorHAnsi"/>
        </w:rPr>
        <w:t>延山</w:t>
      </w:r>
      <w:r w:rsidRPr="005A6C1D">
        <w:rPr>
          <w:rFonts w:asciiTheme="majorHAnsi" w:hAnsiTheme="majorHAnsi" w:cstheme="majorHAnsi"/>
        </w:rPr>
        <w:t xml:space="preserve">) Endowed Chair Professor and </w:t>
      </w:r>
      <w:r w:rsidRPr="005A6C1D">
        <w:rPr>
          <w:rFonts w:asciiTheme="majorHAnsi" w:hAnsiTheme="majorHAnsi" w:cstheme="majorHAnsi"/>
          <w:i/>
          <w:iCs/>
        </w:rPr>
        <w:t>Mu-Eun-Jae</w:t>
      </w:r>
      <w:r w:rsidRPr="005A6C1D">
        <w:rPr>
          <w:rFonts w:asciiTheme="majorHAnsi" w:hAnsiTheme="majorHAnsi" w:cstheme="majorHAnsi"/>
        </w:rPr>
        <w:t xml:space="preserve"> (</w:t>
      </w:r>
      <w:r w:rsidRPr="005A6C1D">
        <w:rPr>
          <w:rFonts w:asciiTheme="majorHAnsi" w:hAnsiTheme="majorHAnsi" w:cstheme="majorHAnsi"/>
        </w:rPr>
        <w:t>无垠</w:t>
      </w:r>
      <w:r w:rsidRPr="005A6C1D">
        <w:rPr>
          <w:rFonts w:ascii="Microsoft JhengHei" w:eastAsia="Microsoft JhengHei" w:hAnsi="Microsoft JhengHei" w:cs="Microsoft JhengHei" w:hint="eastAsia"/>
        </w:rPr>
        <w:t>斋</w:t>
      </w:r>
      <w:r w:rsidRPr="005A6C1D">
        <w:rPr>
          <w:rFonts w:asciiTheme="majorHAnsi" w:hAnsiTheme="majorHAnsi" w:cstheme="majorHAnsi"/>
        </w:rPr>
        <w:t>) Endowed Chair Professor at Pohang University of Science and Technology (POSTECH), Korea, with a joint appointment in the Department of Chemical Engineering, Mechanical Engineering, and Electrical Engineering. He received his Ph.D. at the University of California, Berkeley (2013), M.S. at the University of Illinois, Urbana-Champaign (2008) and B.S. at Seoul National University, Korea (2007) all in Mechanical Engineering. Prior joining POSTECH, he conducted postdoctoral research in Materials Sciences Division &amp; Molecular Foundry at Lawrence Berkeley National Laboratory, and also worked as a principal investigator (</w:t>
      </w:r>
      <w:r w:rsidRPr="005A6C1D">
        <w:rPr>
          <w:rFonts w:asciiTheme="majorHAnsi" w:hAnsiTheme="majorHAnsi" w:cstheme="majorHAnsi"/>
          <w:i/>
          <w:iCs/>
        </w:rPr>
        <w:t>Ugo Fano</w:t>
      </w:r>
      <w:r w:rsidRPr="005A6C1D">
        <w:rPr>
          <w:rFonts w:asciiTheme="majorHAnsi" w:hAnsiTheme="majorHAnsi" w:cstheme="majorHAnsi"/>
        </w:rPr>
        <w:t xml:space="preserve"> Fellow) in Nanoscience and Technology Division &amp; the Center for Nanoscale Materials at Argonne National Laboratory. Prof. Rho has authored and co-authored more than 480 high-impact journal papers including Science and Nature. He is also the recipients of several notable honors and awards such as US Department of Energy Argonne Named fellowship (2014), Korean Presidential Early Career Award for Scientists and Engineers (2019), Member of the Young Korean Academy of Science and Technology (Y-KAST) (2020), Associate Member of the National Academy of Engineering of Korea (NAEK) (2022), Fulbright Visiting Scholar Fellowship (2022), Northwestern Simpson Fellowship (2022), Clarivate Highly Cited Researcher (2023, 2024), Elsevier/Stanford World Top 2% Scientist (2021-2025), ACS Nano Lectureship (2024). He serves 13 editorial positions including Light: Science and Applications (Springer-Nature), Microsystems and Nanoengineering (Springer-Nature), npj Nanophotonics (Springe-Nature), Applied Physics Letters (APS).</w:t>
      </w:r>
    </w:p>
    <w:p w14:paraId="4CE1828D" w14:textId="77777777" w:rsidR="005A6C1D" w:rsidRDefault="005A6C1D" w:rsidP="005A6C1D">
      <w:pPr>
        <w:spacing w:after="0"/>
        <w:jc w:val="both"/>
        <w:rPr>
          <w:rFonts w:asciiTheme="majorHAnsi" w:hAnsiTheme="majorHAnsi" w:cstheme="majorHAnsi"/>
          <w:b/>
          <w:bCs/>
          <w:sz w:val="28"/>
          <w:szCs w:val="28"/>
        </w:rPr>
      </w:pPr>
    </w:p>
    <w:p w14:paraId="7799E324" w14:textId="77777777" w:rsidR="005A6C1D" w:rsidRDefault="005A6C1D" w:rsidP="00D56469">
      <w:pPr>
        <w:spacing w:after="0"/>
        <w:jc w:val="center"/>
        <w:rPr>
          <w:rFonts w:asciiTheme="majorHAnsi" w:hAnsiTheme="majorHAnsi" w:cstheme="majorHAnsi"/>
          <w:b/>
          <w:bCs/>
          <w:sz w:val="28"/>
          <w:szCs w:val="28"/>
        </w:rPr>
      </w:pPr>
      <w:r w:rsidRPr="005A6C1D">
        <w:rPr>
          <w:rFonts w:asciiTheme="majorHAnsi" w:hAnsiTheme="majorHAnsi" w:cstheme="majorHAnsi"/>
          <w:b/>
          <w:bCs/>
          <w:sz w:val="28"/>
          <w:szCs w:val="28"/>
        </w:rPr>
        <w:t>Harnessing and Suppressing Disorder: From High-Density Mosaic Metasurfaces to Spin-Optical 2D Material Metrology</w:t>
      </w:r>
    </w:p>
    <w:p w14:paraId="42453BF5" w14:textId="77777777" w:rsidR="005A6C1D" w:rsidRDefault="005A6C1D" w:rsidP="00D56469">
      <w:pPr>
        <w:spacing w:after="0" w:line="240" w:lineRule="auto"/>
        <w:jc w:val="center"/>
        <w:rPr>
          <w:rFonts w:asciiTheme="majorHAnsi" w:hAnsiTheme="majorHAnsi" w:cstheme="majorHAnsi"/>
          <w:i/>
          <w:iCs/>
          <w:sz w:val="24"/>
          <w:szCs w:val="24"/>
        </w:rPr>
      </w:pPr>
      <w:r w:rsidRPr="005A6C1D">
        <w:rPr>
          <w:rFonts w:asciiTheme="majorHAnsi" w:hAnsiTheme="majorHAnsi" w:cstheme="majorHAnsi"/>
          <w:i/>
          <w:iCs/>
          <w:sz w:val="24"/>
          <w:szCs w:val="24"/>
        </w:rPr>
        <w:t>Changxu Liu</w:t>
      </w:r>
    </w:p>
    <w:p w14:paraId="2CFF0789" w14:textId="77777777" w:rsidR="00EC7869" w:rsidRPr="00EC7869" w:rsidRDefault="00EC7869" w:rsidP="005A6C1D">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t>Centre for Metamaterial Research &amp; Innovation, Department of Engineering, University of Exeter, Exeter, EX44QF, United Kingdom</w:t>
      </w:r>
    </w:p>
    <w:p w14:paraId="57E7EEC9" w14:textId="66979BC4" w:rsidR="005A6C1D" w:rsidRPr="00EC7869" w:rsidRDefault="00EC7869" w:rsidP="005A6C1D">
      <w:pPr>
        <w:spacing w:after="0"/>
        <w:jc w:val="center"/>
        <w:rPr>
          <w:rFonts w:asciiTheme="majorHAnsi" w:hAnsiTheme="majorHAnsi" w:cstheme="majorHAnsi"/>
          <w:i/>
          <w:iCs/>
          <w:sz w:val="20"/>
          <w:szCs w:val="20"/>
        </w:rPr>
      </w:pPr>
      <w:hyperlink r:id="rId9" w:history="1">
        <w:r w:rsidRPr="00EC7869">
          <w:rPr>
            <w:rStyle w:val="Hyperlink"/>
            <w:rFonts w:asciiTheme="majorHAnsi" w:hAnsiTheme="majorHAnsi" w:cstheme="majorHAnsi"/>
            <w:i/>
            <w:iCs/>
            <w:sz w:val="20"/>
            <w:szCs w:val="20"/>
          </w:rPr>
          <w:t>C.C.Liu@exeter.ac.uk</w:t>
        </w:r>
      </w:hyperlink>
    </w:p>
    <w:p w14:paraId="6411114E" w14:textId="3DDCB1BF" w:rsidR="005A6C1D" w:rsidRPr="005A6C1D" w:rsidRDefault="005A6C1D" w:rsidP="005A6C1D">
      <w:pPr>
        <w:spacing w:after="0"/>
        <w:jc w:val="both"/>
        <w:rPr>
          <w:rFonts w:asciiTheme="majorHAnsi" w:hAnsiTheme="majorHAnsi" w:cstheme="majorHAnsi"/>
          <w:lang w:val="en-GB"/>
        </w:rPr>
      </w:pPr>
      <w:r w:rsidRPr="005A6C1D">
        <w:rPr>
          <w:rFonts w:asciiTheme="majorHAnsi" w:hAnsiTheme="majorHAnsi" w:cstheme="majorHAnsi"/>
          <w:lang w:val="en-GB"/>
        </w:rPr>
        <w:t xml:space="preserve">Disorder in optical systems presents a fundamental dichotomy: it can either serve as an architectural degree of freedom or pose a sensitivity-limiting barrier to be suppressed. In my talk, I will explore these two complementary regimes across flat optics and 2D material metrology. </w:t>
      </w:r>
      <w:r w:rsidRPr="005A6C1D">
        <w:rPr>
          <w:rFonts w:asciiTheme="majorHAnsi" w:hAnsiTheme="majorHAnsi" w:cstheme="majorHAnsi"/>
          <w:lang w:val="en-GB"/>
        </w:rPr>
        <w:lastRenderedPageBreak/>
        <w:t xml:space="preserve">First, we demonstrate the deliberate utilization of structural disorder through "disordered mosaic metasurfaces," where randomized spatial sampling of meta-pixels substantially reduces the required active aperture per channel without sacrificing diffraction-limited performance—enabling aperture-scalable achromatic metalenses and single-shot polarimetric imaging of complex vector beams and optical skyrmions [1]. Second, we examine the suppression of disorder-induced measurement ambiguities through spin-dependent optical differentiation at planar interfaces. By harnessing the photonic spin Hall effect, atomic-layer thickness in 2D materials (graphene, MoS2, and WSe2) is mapped directly onto robust real-space edge orientations and topology-like disk-to-ring transitions without spectrometers, scanning probes, or lithographic nanostructures [2]. </w:t>
      </w:r>
    </w:p>
    <w:p w14:paraId="7DD1C94E" w14:textId="77777777" w:rsidR="005A6C1D" w:rsidRPr="005A6C1D" w:rsidRDefault="005A6C1D" w:rsidP="005A6C1D">
      <w:pPr>
        <w:spacing w:after="0"/>
        <w:jc w:val="both"/>
        <w:rPr>
          <w:rFonts w:asciiTheme="majorHAnsi" w:hAnsiTheme="majorHAnsi" w:cstheme="majorHAnsi"/>
          <w:lang w:val="en-GB"/>
        </w:rPr>
      </w:pPr>
      <w:r w:rsidRPr="005A6C1D">
        <w:rPr>
          <w:rFonts w:asciiTheme="majorHAnsi" w:hAnsiTheme="majorHAnsi" w:cstheme="majorHAnsi"/>
          <w:lang w:val="en-GB"/>
        </w:rPr>
        <w:t>[1] C. Li†, C. Liu†*, C. Peters, H. Yu, A. Forbes, S. A. Maier, Haoran Ren*, “Disordered Mosaic Metasurfaces with Scalable Functional Density”, Nature Comm. 17, 4835 (2026).</w:t>
      </w:r>
    </w:p>
    <w:p w14:paraId="0F9D5E88" w14:textId="7424ABB8" w:rsidR="00D56469" w:rsidRDefault="005A6C1D" w:rsidP="005A6C1D">
      <w:pPr>
        <w:spacing w:after="0"/>
        <w:jc w:val="both"/>
        <w:rPr>
          <w:rFonts w:asciiTheme="majorHAnsi" w:hAnsiTheme="majorHAnsi" w:cstheme="majorHAnsi"/>
          <w:lang w:val="en-GB"/>
        </w:rPr>
      </w:pPr>
      <w:r w:rsidRPr="005A6C1D">
        <w:rPr>
          <w:rFonts w:asciiTheme="majorHAnsi" w:hAnsiTheme="majorHAnsi" w:cstheme="majorHAnsi"/>
          <w:lang w:val="en-GB"/>
        </w:rPr>
        <w:t>[2] D. Zheng, C. Liu *, S. Wen, H. Luo and S. Chen*, “Encoding atomic-layer thickness via spin-dependent optical differentiation”, Nature Comm. , accepted</w:t>
      </w:r>
    </w:p>
    <w:p w14:paraId="316C6C9B" w14:textId="77777777" w:rsidR="005A6C1D" w:rsidRDefault="005A6C1D" w:rsidP="005A6C1D">
      <w:pPr>
        <w:spacing w:after="0"/>
        <w:jc w:val="both"/>
        <w:rPr>
          <w:rFonts w:asciiTheme="majorHAnsi" w:hAnsiTheme="majorHAnsi" w:cstheme="majorHAnsi"/>
          <w:lang w:val="en-GB"/>
        </w:rPr>
      </w:pPr>
    </w:p>
    <w:p w14:paraId="08D84CD7" w14:textId="77777777" w:rsidR="005A6C1D" w:rsidRDefault="005A6C1D" w:rsidP="00D56469">
      <w:pPr>
        <w:spacing w:after="0"/>
        <w:jc w:val="center"/>
        <w:rPr>
          <w:rFonts w:asciiTheme="majorHAnsi" w:hAnsiTheme="majorHAnsi" w:cstheme="majorHAnsi"/>
          <w:b/>
          <w:bCs/>
          <w:sz w:val="28"/>
          <w:szCs w:val="28"/>
        </w:rPr>
      </w:pPr>
      <w:r w:rsidRPr="005A6C1D">
        <w:rPr>
          <w:rFonts w:asciiTheme="majorHAnsi" w:hAnsiTheme="majorHAnsi" w:cstheme="majorHAnsi"/>
          <w:b/>
          <w:bCs/>
          <w:sz w:val="28"/>
          <w:szCs w:val="28"/>
        </w:rPr>
        <w:t>Tuneable metasurfaces for nonlinear imaging applications</w:t>
      </w:r>
    </w:p>
    <w:p w14:paraId="1E10ED8B" w14:textId="77777777" w:rsidR="005A6C1D" w:rsidRDefault="005A6C1D" w:rsidP="00D56469">
      <w:pPr>
        <w:spacing w:after="0"/>
        <w:jc w:val="center"/>
        <w:rPr>
          <w:rFonts w:asciiTheme="majorHAnsi" w:hAnsiTheme="majorHAnsi" w:cstheme="majorHAnsi"/>
          <w:i/>
          <w:iCs/>
          <w:sz w:val="24"/>
          <w:szCs w:val="24"/>
        </w:rPr>
      </w:pPr>
      <w:r w:rsidRPr="005A6C1D">
        <w:rPr>
          <w:rFonts w:asciiTheme="majorHAnsi" w:hAnsiTheme="majorHAnsi" w:cstheme="majorHAnsi"/>
          <w:i/>
          <w:iCs/>
          <w:sz w:val="24"/>
          <w:szCs w:val="24"/>
        </w:rPr>
        <w:t>Lei Xu</w:t>
      </w:r>
    </w:p>
    <w:p w14:paraId="3BAD9EEF" w14:textId="2B3B3250" w:rsidR="00D56469" w:rsidRPr="00EC7869" w:rsidRDefault="005A6C1D" w:rsidP="005A6C1D">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t>Advanced Optics and Photonics Laboratory, Department of Engineering, School of Science &amp; Technology, Nottingham Trent University, Nottingham NG11 8NS, UK</w:t>
      </w:r>
    </w:p>
    <w:p w14:paraId="5FADF5DE" w14:textId="77777777" w:rsidR="005A6C1D" w:rsidRPr="00EC7869" w:rsidRDefault="005A6C1D" w:rsidP="005A6C1D">
      <w:pPr>
        <w:spacing w:after="0"/>
        <w:jc w:val="center"/>
        <w:rPr>
          <w:rFonts w:asciiTheme="majorHAnsi" w:hAnsiTheme="majorHAnsi" w:cstheme="majorHAnsi"/>
          <w:i/>
          <w:iCs/>
          <w:sz w:val="20"/>
          <w:szCs w:val="20"/>
          <w:lang w:val="en-GB"/>
        </w:rPr>
      </w:pPr>
      <w:hyperlink r:id="rId10" w:history="1">
        <w:r w:rsidRPr="00EC7869">
          <w:rPr>
            <w:rStyle w:val="Hyperlink"/>
            <w:rFonts w:asciiTheme="majorHAnsi" w:hAnsiTheme="majorHAnsi" w:cstheme="majorHAnsi"/>
            <w:i/>
            <w:iCs/>
            <w:sz w:val="20"/>
            <w:szCs w:val="20"/>
            <w:lang w:val="en-GB"/>
          </w:rPr>
          <w:t>lei.xu@ntu.ac.uk</w:t>
        </w:r>
      </w:hyperlink>
    </w:p>
    <w:p w14:paraId="4BB1269D" w14:textId="418E24C0" w:rsidR="00D56469" w:rsidRDefault="005A6C1D" w:rsidP="00D56469">
      <w:pPr>
        <w:spacing w:after="0"/>
        <w:jc w:val="both"/>
        <w:rPr>
          <w:rFonts w:asciiTheme="majorHAnsi" w:hAnsiTheme="majorHAnsi" w:cstheme="majorHAnsi"/>
        </w:rPr>
      </w:pPr>
      <w:r w:rsidRPr="005A6C1D">
        <w:rPr>
          <w:rFonts w:asciiTheme="majorHAnsi" w:hAnsiTheme="majorHAnsi" w:cstheme="majorHAnsi"/>
        </w:rPr>
        <w:t>Reconfigurable metasurfaces provide a powerful platform for programmable photonic devices. Here, I will present our recent work on tunable nonlinear metasurfaces for infrared imaging. We achieve dynamic wavefront control through optically induced refractive-index modulation in resonant nanostructures and functional materials, including phase-change materials and liquid crystals, as well as through virtual metasurfaces. These approaches enable active control of harmonic generation, nonlinear wave mixing, and ultrafast nonlinear emission. We further demonstrate infrared-to-visible frequency conversion for enhanced image retrieval and processing, offering a promising route towards ultracompact computational imaging systems.</w:t>
      </w:r>
    </w:p>
    <w:p w14:paraId="6301D8C4" w14:textId="084EF825" w:rsidR="005A6C1D" w:rsidRPr="005A6C1D" w:rsidRDefault="005A6C1D" w:rsidP="005A6C1D">
      <w:pPr>
        <w:spacing w:after="0"/>
        <w:jc w:val="both"/>
        <w:rPr>
          <w:rFonts w:asciiTheme="majorHAnsi" w:hAnsiTheme="majorHAnsi" w:cstheme="majorHAnsi"/>
          <w:b/>
          <w:lang w:val="en-GB"/>
        </w:rPr>
      </w:pPr>
      <w:r w:rsidRPr="005A6C1D">
        <w:rPr>
          <w:rFonts w:asciiTheme="majorHAnsi" w:hAnsiTheme="majorHAnsi" w:cstheme="majorHAnsi"/>
          <w:b/>
          <w:lang w:val="en-GB"/>
        </w:rPr>
        <w:t>BIO</w:t>
      </w:r>
    </w:p>
    <w:p w14:paraId="58E5B709" w14:textId="77777777" w:rsidR="005A6C1D" w:rsidRPr="005A6C1D" w:rsidRDefault="005A6C1D" w:rsidP="005A6C1D">
      <w:pPr>
        <w:spacing w:after="0"/>
        <w:jc w:val="both"/>
        <w:rPr>
          <w:rFonts w:asciiTheme="majorHAnsi" w:hAnsiTheme="majorHAnsi" w:cstheme="majorHAnsi"/>
          <w:lang w:val="en-GB"/>
        </w:rPr>
      </w:pPr>
      <w:r w:rsidRPr="005A6C1D">
        <w:rPr>
          <w:rFonts w:asciiTheme="majorHAnsi" w:hAnsiTheme="majorHAnsi" w:cstheme="majorHAnsi"/>
          <w:lang w:val="en-GB"/>
        </w:rPr>
        <w:t xml:space="preserve">Associate Prof. Dr Lei Xu, Department of Engineering, Nottingham Trent University. He obtained his PhD in 2014 in Optics from Nankai University, China. Since then, he has been performing research and engineering activities in different universities: Nankai University, The Australian National University and the University of New South Wales. His research interests are linear and nonlinear nanophotonics, optoelectronics meta-devices, and bio-photonics. He served as deputy chair and chair of the IEEE Nanotechnology chapter across the UK &amp; Ireland in 2022-23 and 2024, respectively. </w:t>
      </w:r>
    </w:p>
    <w:p w14:paraId="0AF2DB95" w14:textId="77777777" w:rsidR="005A6C1D" w:rsidRDefault="005A6C1D" w:rsidP="00D56469">
      <w:pPr>
        <w:spacing w:after="0"/>
        <w:jc w:val="both"/>
        <w:rPr>
          <w:rFonts w:asciiTheme="majorHAnsi" w:hAnsiTheme="majorHAnsi" w:cstheme="majorHAnsi"/>
        </w:rPr>
      </w:pPr>
    </w:p>
    <w:p w14:paraId="69B7744C" w14:textId="77777777" w:rsidR="005A6C1D" w:rsidRDefault="005A6C1D" w:rsidP="00D56469">
      <w:pPr>
        <w:spacing w:after="0"/>
        <w:jc w:val="both"/>
        <w:rPr>
          <w:rFonts w:asciiTheme="majorHAnsi" w:hAnsiTheme="majorHAnsi" w:cstheme="majorHAnsi"/>
        </w:rPr>
      </w:pPr>
    </w:p>
    <w:p w14:paraId="37E9BAA1" w14:textId="77777777" w:rsidR="00EC7869" w:rsidRDefault="00EC7869" w:rsidP="00D56469">
      <w:pPr>
        <w:spacing w:after="0" w:line="240" w:lineRule="auto"/>
        <w:jc w:val="center"/>
        <w:rPr>
          <w:rFonts w:asciiTheme="majorHAnsi" w:hAnsiTheme="majorHAnsi" w:cstheme="majorHAnsi"/>
          <w:b/>
          <w:bCs/>
          <w:sz w:val="28"/>
          <w:szCs w:val="28"/>
        </w:rPr>
      </w:pPr>
      <w:r w:rsidRPr="00EC7869">
        <w:rPr>
          <w:rFonts w:asciiTheme="majorHAnsi" w:hAnsiTheme="majorHAnsi" w:cstheme="majorHAnsi"/>
          <w:b/>
          <w:bCs/>
          <w:sz w:val="28"/>
          <w:szCs w:val="28"/>
        </w:rPr>
        <w:t>Holographic Metasurfaces platforms for biophotonics and enhanced visual prostheses applications</w:t>
      </w:r>
    </w:p>
    <w:p w14:paraId="7F4DAE42" w14:textId="77777777" w:rsidR="00EC7869" w:rsidRDefault="00EC7869" w:rsidP="00D56469">
      <w:pPr>
        <w:spacing w:after="0" w:line="240" w:lineRule="auto"/>
        <w:jc w:val="center"/>
        <w:rPr>
          <w:rFonts w:asciiTheme="majorHAnsi" w:hAnsiTheme="majorHAnsi" w:cstheme="majorHAnsi"/>
          <w:i/>
          <w:iCs/>
          <w:sz w:val="24"/>
          <w:szCs w:val="24"/>
        </w:rPr>
      </w:pPr>
      <w:r w:rsidRPr="00EC7869">
        <w:rPr>
          <w:rFonts w:asciiTheme="majorHAnsi" w:hAnsiTheme="majorHAnsi" w:cstheme="majorHAnsi"/>
          <w:i/>
          <w:iCs/>
          <w:sz w:val="24"/>
          <w:szCs w:val="24"/>
        </w:rPr>
        <w:t>Andrea Di Falco</w:t>
      </w:r>
    </w:p>
    <w:p w14:paraId="53A40F0C" w14:textId="4D75D7E8" w:rsidR="00312426" w:rsidRPr="00EC7869" w:rsidRDefault="00EC7869" w:rsidP="00EC7869">
      <w:pPr>
        <w:spacing w:after="0"/>
        <w:jc w:val="center"/>
        <w:rPr>
          <w:rFonts w:asciiTheme="majorHAnsi" w:hAnsiTheme="majorHAnsi" w:cstheme="majorHAnsi"/>
          <w:i/>
          <w:iCs/>
          <w:sz w:val="20"/>
          <w:szCs w:val="20"/>
        </w:rPr>
      </w:pPr>
      <w:r w:rsidRPr="00EC7869">
        <w:rPr>
          <w:rFonts w:asciiTheme="majorHAnsi" w:hAnsiTheme="majorHAnsi" w:cstheme="majorHAnsi"/>
          <w:i/>
          <w:iCs/>
          <w:sz w:val="20"/>
          <w:szCs w:val="20"/>
        </w:rPr>
        <w:lastRenderedPageBreak/>
        <w:t>School of Physics and Astronomy, University of St Andrews, St Andrews, United Kingdom of Great Britain and Northern Ireland</w:t>
      </w:r>
    </w:p>
    <w:p w14:paraId="4815604B" w14:textId="27F32680" w:rsidR="00EC7869" w:rsidRPr="00EC7869" w:rsidRDefault="00EC7869" w:rsidP="00EC7869">
      <w:pPr>
        <w:spacing w:after="0"/>
        <w:jc w:val="center"/>
        <w:rPr>
          <w:rFonts w:asciiTheme="majorHAnsi" w:hAnsiTheme="majorHAnsi" w:cstheme="majorHAnsi"/>
          <w:sz w:val="20"/>
          <w:szCs w:val="20"/>
        </w:rPr>
      </w:pPr>
      <w:hyperlink r:id="rId11" w:history="1">
        <w:r w:rsidRPr="00EC7869">
          <w:rPr>
            <w:rStyle w:val="Hyperlink"/>
            <w:rFonts w:asciiTheme="majorHAnsi" w:hAnsiTheme="majorHAnsi" w:cstheme="majorHAnsi"/>
            <w:sz w:val="20"/>
            <w:szCs w:val="20"/>
          </w:rPr>
          <w:t>adf10@st-andrews.ac.uk</w:t>
        </w:r>
      </w:hyperlink>
    </w:p>
    <w:p w14:paraId="48151E69" w14:textId="4F3097DD" w:rsidR="0053431B" w:rsidRDefault="00EC7869" w:rsidP="00D56469">
      <w:pPr>
        <w:spacing w:after="0"/>
        <w:jc w:val="both"/>
        <w:rPr>
          <w:rFonts w:asciiTheme="majorHAnsi" w:hAnsiTheme="majorHAnsi" w:cstheme="majorHAnsi"/>
          <w:lang w:val="en-GB"/>
        </w:rPr>
      </w:pPr>
      <w:r w:rsidRPr="00EC7869">
        <w:rPr>
          <w:rFonts w:asciiTheme="majorHAnsi" w:hAnsiTheme="majorHAnsi" w:cstheme="majorHAnsi"/>
          <w:lang w:val="en-GB"/>
        </w:rPr>
        <w:t>Holographic metasurfaces (HMSs) offer powerful capabilities for controlling light–matter interactions at the micro- and nanoscale, enabling new approaches for sensing, imaging, optical manipulation, and wearable photonic technologies. By precisely shaping optical fields in compact form factors, metasurfaces can be integrated onto a wide range of platforms, from microfluidic devices to curved and wearable optical systems, overcoming many of the limitations of conventional photonic components. Here, I will present several metasurface platforms developed for biological, biomedical, and visual applications, highlighting how material choice, device architecture, and integration strategies influence performance and functionality. Together, these examples demonstrate the versatility of holographic metasurfaces as compact, multifunctional photonic platforms, opening new opportunities in biophotonics, augmented reality, visual assistance, and biomedical technologies.</w:t>
      </w:r>
    </w:p>
    <w:p w14:paraId="04DCD14A" w14:textId="77777777" w:rsidR="00EC7869" w:rsidRDefault="00EC7869" w:rsidP="00D56469">
      <w:pPr>
        <w:spacing w:after="0"/>
        <w:jc w:val="both"/>
        <w:rPr>
          <w:rFonts w:asciiTheme="majorHAnsi" w:hAnsiTheme="majorHAnsi" w:cstheme="majorHAnsi"/>
          <w:lang w:val="en-GB"/>
        </w:rPr>
      </w:pPr>
    </w:p>
    <w:p w14:paraId="4C5DF4B2" w14:textId="77777777" w:rsidR="00EC7869" w:rsidRDefault="00EC7869" w:rsidP="0053431B">
      <w:pPr>
        <w:spacing w:after="0"/>
        <w:jc w:val="center"/>
        <w:rPr>
          <w:rFonts w:asciiTheme="majorHAnsi" w:hAnsiTheme="majorHAnsi" w:cstheme="majorHAnsi"/>
          <w:b/>
          <w:bCs/>
          <w:sz w:val="28"/>
          <w:szCs w:val="28"/>
        </w:rPr>
      </w:pPr>
      <w:r w:rsidRPr="00EC7869">
        <w:rPr>
          <w:rFonts w:asciiTheme="majorHAnsi" w:hAnsiTheme="majorHAnsi" w:cstheme="majorHAnsi"/>
          <w:b/>
          <w:bCs/>
          <w:sz w:val="28"/>
          <w:szCs w:val="28"/>
        </w:rPr>
        <w:t>Optical metasurfaces for Edge Enhancement with Dynamic Orientation Selectivity</w:t>
      </w:r>
    </w:p>
    <w:p w14:paraId="45F419D5" w14:textId="77777777" w:rsidR="00EC7869" w:rsidRDefault="00EC7869" w:rsidP="00EC7869">
      <w:pPr>
        <w:spacing w:after="0" w:line="240" w:lineRule="auto"/>
        <w:jc w:val="center"/>
        <w:rPr>
          <w:rFonts w:asciiTheme="majorHAnsi" w:hAnsiTheme="majorHAnsi" w:cstheme="majorHAnsi"/>
          <w:i/>
          <w:iCs/>
          <w:sz w:val="24"/>
          <w:szCs w:val="24"/>
        </w:rPr>
      </w:pPr>
      <w:r w:rsidRPr="00EC7869">
        <w:rPr>
          <w:rFonts w:asciiTheme="majorHAnsi" w:hAnsiTheme="majorHAnsi" w:cstheme="majorHAnsi"/>
          <w:i/>
          <w:iCs/>
          <w:sz w:val="24"/>
          <w:szCs w:val="24"/>
        </w:rPr>
        <w:t>Xianzhong Chen</w:t>
      </w:r>
    </w:p>
    <w:p w14:paraId="0E8D145C" w14:textId="77777777" w:rsidR="00EC7869" w:rsidRPr="00EC7869" w:rsidRDefault="00EC7869" w:rsidP="00EC7869">
      <w:pPr>
        <w:spacing w:after="0" w:line="240" w:lineRule="auto"/>
        <w:jc w:val="center"/>
        <w:rPr>
          <w:rFonts w:asciiTheme="majorHAnsi" w:hAnsiTheme="majorHAnsi" w:cstheme="majorHAnsi"/>
          <w:i/>
          <w:iCs/>
          <w:sz w:val="20"/>
          <w:szCs w:val="20"/>
        </w:rPr>
      </w:pPr>
      <w:r w:rsidRPr="00EC7869">
        <w:rPr>
          <w:rFonts w:asciiTheme="majorHAnsi" w:hAnsiTheme="majorHAnsi" w:cstheme="majorHAnsi"/>
          <w:i/>
          <w:iCs/>
          <w:sz w:val="20"/>
          <w:szCs w:val="20"/>
        </w:rPr>
        <w:t>Institute of Photonics and Quantum Sciences, School of Engineering and Physical Sciences, Heriot-Watt University, Edinburgh EH14 4AS, UK</w:t>
      </w:r>
    </w:p>
    <w:p w14:paraId="4FB10EDD" w14:textId="569403B5" w:rsidR="00EC7869" w:rsidRPr="00EC7869" w:rsidRDefault="00EC7869" w:rsidP="00EC7869">
      <w:pPr>
        <w:spacing w:after="0" w:line="240" w:lineRule="auto"/>
        <w:jc w:val="center"/>
        <w:rPr>
          <w:sz w:val="20"/>
          <w:szCs w:val="20"/>
        </w:rPr>
      </w:pPr>
      <w:hyperlink r:id="rId12" w:history="1">
        <w:r w:rsidRPr="00EC7869">
          <w:rPr>
            <w:rStyle w:val="Hyperlink"/>
            <w:sz w:val="20"/>
            <w:szCs w:val="20"/>
          </w:rPr>
          <w:t>x.chen@hw.ac.uk</w:t>
        </w:r>
      </w:hyperlink>
      <w:r w:rsidRPr="00EC7869">
        <w:rPr>
          <w:sz w:val="20"/>
          <w:szCs w:val="20"/>
        </w:rPr>
        <w:t xml:space="preserve"> </w:t>
      </w:r>
    </w:p>
    <w:p w14:paraId="4ED47497" w14:textId="77777777" w:rsidR="00EC7869" w:rsidRDefault="00EC7869" w:rsidP="00EC7869">
      <w:pPr>
        <w:spacing w:after="0"/>
        <w:jc w:val="both"/>
        <w:rPr>
          <w:rFonts w:asciiTheme="majorHAnsi" w:hAnsiTheme="majorHAnsi" w:cstheme="majorHAnsi"/>
          <w:lang w:val="en-GB"/>
        </w:rPr>
      </w:pPr>
      <w:r w:rsidRPr="00EC7869">
        <w:rPr>
          <w:rFonts w:asciiTheme="majorHAnsi" w:hAnsiTheme="majorHAnsi" w:cstheme="majorHAnsi"/>
          <w:lang w:val="en-GB"/>
        </w:rPr>
        <w:t>Edge enhancement is vital for revealing fine structural details in samples with weak scattering or low intrinsic contrast. Conventional scalar vortex filtering provides isotropic edge detection but lacks orientation selectivity and can introduce artifacts when adapted for anisotropic imaging. We present a multifunctional edge-imaging system using vector vortex beams that enables dynamic, polarization-controlled, orientation-selective edge enhancement. A metasurface generates the vector vortex beam in a 4f Fourier configuration, while rotating a half-wave plate tunes the spatial polarization distribution in real time. This approach visualizes edges along chosen orientations without changing illumination or optics. Experiments on charts and Saccharomyces cerevisiae confirm contrast.</w:t>
      </w:r>
    </w:p>
    <w:p w14:paraId="59CF2F2E" w14:textId="77777777" w:rsidR="00EC7869" w:rsidRDefault="00EC7869" w:rsidP="0053431B">
      <w:pPr>
        <w:spacing w:after="0"/>
        <w:jc w:val="center"/>
        <w:rPr>
          <w:rFonts w:asciiTheme="majorHAnsi" w:hAnsiTheme="majorHAnsi" w:cstheme="majorHAnsi"/>
          <w:b/>
          <w:bCs/>
          <w:sz w:val="28"/>
          <w:szCs w:val="28"/>
        </w:rPr>
      </w:pPr>
      <w:r w:rsidRPr="00EC7869">
        <w:rPr>
          <w:rFonts w:asciiTheme="majorHAnsi" w:hAnsiTheme="majorHAnsi" w:cstheme="majorHAnsi"/>
          <w:b/>
          <w:bCs/>
          <w:sz w:val="28"/>
          <w:szCs w:val="28"/>
        </w:rPr>
        <w:t>Etch-Free Nanofabrication of Functional Metal-Oxide Nanostructures by Sol-Gel Nanoimprint Lithography</w:t>
      </w:r>
    </w:p>
    <w:p w14:paraId="67ED486F" w14:textId="77777777" w:rsidR="00EC7869" w:rsidRDefault="00EC7869" w:rsidP="00EC7869">
      <w:pPr>
        <w:spacing w:after="0"/>
        <w:jc w:val="center"/>
        <w:rPr>
          <w:rFonts w:asciiTheme="majorHAnsi" w:hAnsiTheme="majorHAnsi" w:cstheme="majorHAnsi"/>
          <w:i/>
          <w:iCs/>
          <w:sz w:val="24"/>
          <w:szCs w:val="24"/>
        </w:rPr>
      </w:pPr>
      <w:r w:rsidRPr="00EC7869">
        <w:rPr>
          <w:rFonts w:asciiTheme="majorHAnsi" w:hAnsiTheme="majorHAnsi" w:cstheme="majorHAnsi"/>
          <w:i/>
          <w:iCs/>
          <w:sz w:val="24"/>
          <w:szCs w:val="24"/>
        </w:rPr>
        <w:t>Marco ABBARCHI</w:t>
      </w:r>
    </w:p>
    <w:p w14:paraId="7C3EC9A3" w14:textId="77777777" w:rsidR="00EC7869" w:rsidRPr="00EC7869" w:rsidRDefault="00EC7869" w:rsidP="00EC7869">
      <w:pPr>
        <w:spacing w:after="0"/>
        <w:jc w:val="center"/>
        <w:rPr>
          <w:rFonts w:asciiTheme="majorHAnsi" w:hAnsiTheme="majorHAnsi" w:cstheme="majorHAnsi"/>
          <w:i/>
          <w:iCs/>
        </w:rPr>
      </w:pPr>
      <w:r w:rsidRPr="00EC7869">
        <w:rPr>
          <w:rFonts w:asciiTheme="majorHAnsi" w:hAnsiTheme="majorHAnsi" w:cstheme="majorHAnsi"/>
          <w:i/>
          <w:iCs/>
        </w:rPr>
        <w:t>SOLNIL, Pépinière d'entreprises Luminy Biotech, 163 avenue de Luminy, Marseille, France</w:t>
      </w:r>
    </w:p>
    <w:p w14:paraId="1069341A" w14:textId="0A95ADEF" w:rsidR="00EC7869" w:rsidRPr="00EC7869" w:rsidRDefault="00EC7869" w:rsidP="00EC7869">
      <w:pPr>
        <w:spacing w:after="0"/>
        <w:jc w:val="center"/>
        <w:rPr>
          <w:rFonts w:asciiTheme="majorHAnsi" w:hAnsiTheme="majorHAnsi" w:cstheme="majorHAnsi"/>
          <w:i/>
          <w:iCs/>
        </w:rPr>
      </w:pPr>
      <w:hyperlink r:id="rId13" w:history="1">
        <w:r w:rsidRPr="00EC7869">
          <w:rPr>
            <w:rStyle w:val="Hyperlink"/>
            <w:rFonts w:asciiTheme="majorHAnsi" w:hAnsiTheme="majorHAnsi" w:cstheme="majorHAnsi"/>
            <w:i/>
            <w:iCs/>
          </w:rPr>
          <w:t>marco.abbarchi@solnil.com</w:t>
        </w:r>
      </w:hyperlink>
    </w:p>
    <w:p w14:paraId="1180C93F" w14:textId="04EC672D" w:rsidR="00EC7869" w:rsidRPr="00EC7869" w:rsidRDefault="00EC7869" w:rsidP="00EC7869">
      <w:pPr>
        <w:spacing w:after="0"/>
        <w:jc w:val="both"/>
        <w:rPr>
          <w:rFonts w:asciiTheme="majorHAnsi" w:hAnsiTheme="majorHAnsi" w:cstheme="majorHAnsi"/>
        </w:rPr>
      </w:pPr>
      <w:r w:rsidRPr="00EC7869">
        <w:rPr>
          <w:rFonts w:asciiTheme="majorHAnsi" w:hAnsiTheme="majorHAnsi" w:cstheme="majorHAnsi"/>
        </w:rPr>
        <w:t xml:space="preserve">SOLNIL has developed a proprietary platform for the direct patterning of functional inorganic nanostructures through a unique combination of sol-gel chemistry and nanoimprint lithography (NIL), entirely bypassing the plasma etching steps that dominate conventional nanofabrication. In SOLNIL's process, liquid sol-gel precursor resins are deposited on the substrate and physically shaped into three-dimensional nanostructures, pillars, gratings, holes, and meta-atom arrays, by pressing a soft polymeric stamp onto the wet film. A subsequent thermal annealing step converts </w:t>
      </w:r>
      <w:r w:rsidRPr="00EC7869">
        <w:rPr>
          <w:rFonts w:asciiTheme="majorHAnsi" w:hAnsiTheme="majorHAnsi" w:cstheme="majorHAnsi"/>
        </w:rPr>
        <w:lastRenderedPageBreak/>
        <w:t>the patterned gel into a dense, hard, and chemically stable metal-oxide ceramic, yielding functional devices directly without any etch transfer sequence.</w:t>
      </w:r>
    </w:p>
    <w:p w14:paraId="14B52671" w14:textId="77777777" w:rsidR="00EC7869" w:rsidRPr="00EC7869" w:rsidRDefault="00EC7869" w:rsidP="00EC7869">
      <w:pPr>
        <w:spacing w:after="0"/>
        <w:jc w:val="both"/>
        <w:rPr>
          <w:rFonts w:asciiTheme="majorHAnsi" w:hAnsiTheme="majorHAnsi" w:cstheme="majorHAnsi"/>
        </w:rPr>
      </w:pPr>
      <w:r w:rsidRPr="00EC7869">
        <w:rPr>
          <w:rFonts w:asciiTheme="majorHAnsi" w:hAnsiTheme="majorHAnsi" w:cstheme="majorHAnsi"/>
        </w:rPr>
        <w:t>SOLNIL's material portfolio covers a refractive index range of 1.12 to 2.6, encompassing nanoporous SiO₂ (n ≈ 1.12, optical loss &lt; 0.05%), standard silica (n ≈ 1.46), and high-index titania-based resins (2 &lt; n &lt; 2.6). This breadth enables a unified fabrication approach across multiple device layers within a single photonic stack, from anti-reflective encapsulants to high-index meta-optic elements and diffraction gratings for waveguide in-coupling and out-coupling. Recent results further extend the platform to phase-change materials: sol-gel vanadium dioxide (VO₂) films and nanoimprinted metasurfaces with large resistivity contrast and thermally switchable optical response in the visible range have been demonstrated, opening routes to reconfigurable and active photonic devices.</w:t>
      </w:r>
    </w:p>
    <w:p w14:paraId="44536562" w14:textId="04908B81" w:rsidR="0053431B" w:rsidRDefault="00EC7869" w:rsidP="00EC7869">
      <w:pPr>
        <w:spacing w:after="0"/>
        <w:jc w:val="both"/>
        <w:rPr>
          <w:rFonts w:asciiTheme="majorHAnsi" w:hAnsiTheme="majorHAnsi" w:cstheme="majorHAnsi"/>
        </w:rPr>
      </w:pPr>
      <w:r w:rsidRPr="00EC7869">
        <w:rPr>
          <w:rFonts w:asciiTheme="majorHAnsi" w:hAnsiTheme="majorHAnsi" w:cstheme="majorHAnsi"/>
        </w:rPr>
        <w:t>Scalability is a defining feature of the technology. SOLNIL has demonstrated pattern transfer on 200 mm wafers using commercial NIL equipment, on curved substrates including optical lenses, and on flexible films. The etch-free character of the process eliminates plasma-induced sidewall damage, reduces process complexity and cost, and improves device yield and longevity — making SOLNIL's platform a compelling industrial route to next-generation photonic integrated circuits, meta-optics, AR/VR waveguides, and active optical components.</w:t>
      </w:r>
    </w:p>
    <w:p w14:paraId="42C47DA6" w14:textId="77777777" w:rsidR="00E86E3F" w:rsidRPr="00D25983" w:rsidRDefault="00E86E3F" w:rsidP="00E86E3F">
      <w:pPr>
        <w:pStyle w:val="Heading1"/>
        <w:jc w:val="center"/>
        <w:rPr>
          <w:color w:val="auto"/>
        </w:rPr>
      </w:pPr>
      <w:r w:rsidRPr="00D25983">
        <w:rPr>
          <w:color w:val="auto"/>
        </w:rPr>
        <w:t>From Design to Device: Metasurface-Based Vortex Beam Generation Using Southampton’s Rapid-Prototyping Foundry</w:t>
      </w:r>
    </w:p>
    <w:p w14:paraId="071531E9" w14:textId="77777777" w:rsidR="00E86E3F" w:rsidRDefault="00E86E3F" w:rsidP="00E86E3F">
      <w:pPr>
        <w:spacing w:after="0"/>
        <w:jc w:val="center"/>
        <w:rPr>
          <w:rFonts w:asciiTheme="majorHAnsi" w:hAnsiTheme="majorHAnsi" w:cstheme="majorHAnsi"/>
          <w:i/>
          <w:iCs/>
          <w:sz w:val="24"/>
          <w:szCs w:val="24"/>
        </w:rPr>
      </w:pPr>
      <w:r>
        <w:rPr>
          <w:rFonts w:asciiTheme="majorHAnsi" w:hAnsiTheme="majorHAnsi" w:cstheme="majorHAnsi"/>
          <w:i/>
          <w:iCs/>
          <w:sz w:val="24"/>
          <w:szCs w:val="24"/>
        </w:rPr>
        <w:t xml:space="preserve">Prof. </w:t>
      </w:r>
      <w:r w:rsidRPr="00D56469">
        <w:rPr>
          <w:rFonts w:asciiTheme="majorHAnsi" w:hAnsiTheme="majorHAnsi" w:cstheme="majorHAnsi"/>
          <w:i/>
          <w:iCs/>
          <w:sz w:val="24"/>
          <w:szCs w:val="24"/>
        </w:rPr>
        <w:t>Xu Fang</w:t>
      </w:r>
    </w:p>
    <w:p w14:paraId="53285AA3" w14:textId="77777777" w:rsidR="00E86E3F" w:rsidRPr="000033D9" w:rsidRDefault="00E86E3F" w:rsidP="00E86E3F">
      <w:pPr>
        <w:spacing w:after="0"/>
        <w:jc w:val="center"/>
        <w:rPr>
          <w:rFonts w:asciiTheme="majorHAnsi" w:hAnsiTheme="majorHAnsi" w:cstheme="majorHAnsi"/>
          <w:i/>
          <w:iCs/>
          <w:sz w:val="24"/>
          <w:szCs w:val="24"/>
        </w:rPr>
      </w:pPr>
      <w:r>
        <w:rPr>
          <w:rFonts w:asciiTheme="majorHAnsi" w:hAnsiTheme="majorHAnsi" w:cstheme="majorHAnsi"/>
          <w:i/>
          <w:iCs/>
        </w:rPr>
        <w:t>Southampton University</w:t>
      </w:r>
    </w:p>
    <w:p w14:paraId="4E29F262" w14:textId="77777777" w:rsidR="00E86E3F" w:rsidRDefault="00E86E3F" w:rsidP="00E86E3F">
      <w:pPr>
        <w:spacing w:after="0"/>
        <w:jc w:val="both"/>
        <w:rPr>
          <w:rFonts w:asciiTheme="majorHAnsi" w:hAnsiTheme="majorHAnsi" w:cstheme="majorHAnsi"/>
          <w:lang w:val="en-GB"/>
        </w:rPr>
      </w:pPr>
      <w:r w:rsidRPr="00D56469">
        <w:rPr>
          <w:rFonts w:asciiTheme="majorHAnsi" w:hAnsiTheme="majorHAnsi" w:cstheme="majorHAnsi"/>
          <w:lang w:val="en-GB"/>
        </w:rPr>
        <w:t>This presentation showcases a design-to-device workflow for metasurface-based vortex beam generation enabled by the University of Southampton's rapid-prototyping foundry infrastructure. Leveraging state-of-the-art nanofabrication facilities, including deep-ultraviolet lithography, electron-beam lithography, thin-film deposition, and advanced metrology, the platform enables the rapid translation of novel metasurface concepts into experimentally validated devices. As a representative example, we present recent progress on bilayer metasurfaces fabricated using a multilayer lithographic process.</w:t>
      </w:r>
    </w:p>
    <w:p w14:paraId="77261BED" w14:textId="77777777" w:rsidR="00D25983" w:rsidRDefault="00D25983" w:rsidP="00B962A2">
      <w:pPr>
        <w:spacing w:after="0"/>
        <w:jc w:val="both"/>
        <w:rPr>
          <w:rFonts w:asciiTheme="majorHAnsi" w:hAnsiTheme="majorHAnsi" w:cstheme="majorHAnsi"/>
          <w:i/>
          <w:iCs/>
        </w:rPr>
      </w:pPr>
    </w:p>
    <w:p w14:paraId="006D2247" w14:textId="28D767A3" w:rsidR="00D25983" w:rsidRPr="00D25983" w:rsidRDefault="00D25983" w:rsidP="00D25983">
      <w:pPr>
        <w:spacing w:after="0"/>
        <w:jc w:val="center"/>
        <w:rPr>
          <w:rFonts w:asciiTheme="majorHAnsi" w:hAnsiTheme="majorHAnsi" w:cstheme="majorHAnsi"/>
          <w:b/>
          <w:bCs/>
          <w:sz w:val="28"/>
          <w:szCs w:val="28"/>
        </w:rPr>
      </w:pPr>
      <w:r w:rsidRPr="00D25983">
        <w:rPr>
          <w:rFonts w:asciiTheme="majorHAnsi" w:hAnsiTheme="majorHAnsi" w:cstheme="majorHAnsi"/>
          <w:b/>
          <w:bCs/>
          <w:sz w:val="28"/>
          <w:szCs w:val="28"/>
        </w:rPr>
        <w:t>Engineering Complex Optical Vortices with Flat Optics</w:t>
      </w:r>
    </w:p>
    <w:p w14:paraId="3F66DE0E" w14:textId="129DC069" w:rsidR="00D25983" w:rsidRPr="00B962A2" w:rsidRDefault="008E061E" w:rsidP="00D25983">
      <w:pPr>
        <w:spacing w:after="0"/>
        <w:jc w:val="center"/>
        <w:rPr>
          <w:rFonts w:asciiTheme="majorHAnsi" w:hAnsiTheme="majorHAnsi" w:cstheme="majorHAnsi"/>
          <w:i/>
          <w:iCs/>
          <w:sz w:val="24"/>
          <w:szCs w:val="24"/>
        </w:rPr>
      </w:pPr>
      <w:r>
        <w:rPr>
          <w:rFonts w:asciiTheme="majorHAnsi" w:hAnsiTheme="majorHAnsi" w:cstheme="majorHAnsi"/>
          <w:i/>
          <w:iCs/>
          <w:sz w:val="24"/>
          <w:szCs w:val="24"/>
        </w:rPr>
        <w:t xml:space="preserve">Dr. </w:t>
      </w:r>
      <w:r w:rsidR="00D25983">
        <w:rPr>
          <w:rFonts w:asciiTheme="majorHAnsi" w:hAnsiTheme="majorHAnsi" w:cstheme="majorHAnsi"/>
          <w:i/>
          <w:iCs/>
          <w:sz w:val="24"/>
          <w:szCs w:val="24"/>
        </w:rPr>
        <w:t>Hammad Ahmed</w:t>
      </w:r>
      <w:r w:rsidR="00D25983" w:rsidRPr="00B962A2">
        <w:rPr>
          <w:rFonts w:asciiTheme="majorHAnsi" w:hAnsiTheme="majorHAnsi" w:cstheme="majorHAnsi"/>
          <w:i/>
          <w:iCs/>
          <w:sz w:val="24"/>
          <w:szCs w:val="24"/>
        </w:rPr>
        <w:t xml:space="preserve"> </w:t>
      </w:r>
    </w:p>
    <w:p w14:paraId="33273B8A" w14:textId="6CDD4CB2" w:rsidR="00D25983" w:rsidRPr="000033D9" w:rsidRDefault="00D25983" w:rsidP="000033D9">
      <w:pPr>
        <w:spacing w:after="0"/>
        <w:jc w:val="center"/>
        <w:rPr>
          <w:rFonts w:asciiTheme="majorHAnsi" w:hAnsiTheme="majorHAnsi" w:cstheme="majorHAnsi"/>
          <w:i/>
          <w:iCs/>
        </w:rPr>
      </w:pPr>
      <w:r w:rsidRPr="00B962A2">
        <w:rPr>
          <w:rFonts w:asciiTheme="majorHAnsi" w:hAnsiTheme="majorHAnsi" w:cstheme="majorHAnsi"/>
          <w:i/>
          <w:iCs/>
        </w:rPr>
        <w:t xml:space="preserve">Institute for Photonics and Quantum Science, Heriot-Watt University, Edinburgh EH14 4AS, United Kingdom. </w:t>
      </w:r>
    </w:p>
    <w:p w14:paraId="5B486FE7" w14:textId="3178492C" w:rsidR="006E1803" w:rsidRPr="008E061E" w:rsidRDefault="00D25983" w:rsidP="00B962A2">
      <w:pPr>
        <w:spacing w:after="0"/>
        <w:jc w:val="both"/>
        <w:rPr>
          <w:rFonts w:asciiTheme="majorHAnsi" w:hAnsiTheme="majorHAnsi" w:cstheme="majorHAnsi"/>
        </w:rPr>
      </w:pPr>
      <w:r w:rsidRPr="0053431B">
        <w:rPr>
          <w:rFonts w:asciiTheme="majorHAnsi" w:hAnsiTheme="majorHAnsi" w:cstheme="majorHAnsi"/>
        </w:rPr>
        <w:t>The phase singularity and doughnut-shaped intensity distribution</w:t>
      </w:r>
      <w:r w:rsidR="008E061E">
        <w:rPr>
          <w:rFonts w:asciiTheme="majorHAnsi" w:hAnsiTheme="majorHAnsi" w:cstheme="majorHAnsi"/>
        </w:rPr>
        <w:t>s</w:t>
      </w:r>
      <w:r w:rsidRPr="0053431B">
        <w:rPr>
          <w:rFonts w:asciiTheme="majorHAnsi" w:hAnsiTheme="majorHAnsi" w:cstheme="majorHAnsi"/>
        </w:rPr>
        <w:t xml:space="preserve"> </w:t>
      </w:r>
      <w:r w:rsidR="008E061E">
        <w:rPr>
          <w:rFonts w:asciiTheme="majorHAnsi" w:hAnsiTheme="majorHAnsi" w:cstheme="majorHAnsi"/>
        </w:rPr>
        <w:t>of o</w:t>
      </w:r>
      <w:r w:rsidR="008E061E" w:rsidRPr="0053431B">
        <w:rPr>
          <w:rFonts w:asciiTheme="majorHAnsi" w:hAnsiTheme="majorHAnsi" w:cstheme="majorHAnsi"/>
        </w:rPr>
        <w:t xml:space="preserve">ptical vortices (OVs) </w:t>
      </w:r>
      <w:r w:rsidRPr="0053431B">
        <w:rPr>
          <w:rFonts w:asciiTheme="majorHAnsi" w:hAnsiTheme="majorHAnsi" w:cstheme="majorHAnsi"/>
        </w:rPr>
        <w:t>have enabled diverse applications</w:t>
      </w:r>
      <w:r w:rsidR="008E061E">
        <w:rPr>
          <w:rFonts w:asciiTheme="majorHAnsi" w:hAnsiTheme="majorHAnsi" w:cstheme="majorHAnsi"/>
        </w:rPr>
        <w:t xml:space="preserve"> such as</w:t>
      </w:r>
      <w:r w:rsidRPr="0053431B">
        <w:rPr>
          <w:rFonts w:asciiTheme="majorHAnsi" w:hAnsiTheme="majorHAnsi" w:cstheme="majorHAnsi"/>
        </w:rPr>
        <w:t xml:space="preserve"> optical manipulation, microscopy, imaging, and high-capacity optical communications.</w:t>
      </w:r>
      <w:r w:rsidR="008E061E">
        <w:rPr>
          <w:rFonts w:asciiTheme="majorHAnsi" w:hAnsiTheme="majorHAnsi" w:cstheme="majorHAnsi"/>
        </w:rPr>
        <w:t xml:space="preserve"> </w:t>
      </w:r>
      <w:r w:rsidRPr="0053431B">
        <w:rPr>
          <w:rFonts w:asciiTheme="majorHAnsi" w:hAnsiTheme="majorHAnsi" w:cstheme="majorHAnsi"/>
        </w:rPr>
        <w:t>Recent advances have extended conventional OVs to a broad range of complex beam structures, including composite beams, Ince Gaussian beams, perfect OVs, grafted OVs, vector OVs, arbitrary-shaped beams, and OAM combs. These complex OVs offer additional degrees of freedom for engineering light fields and expanding the capabilities of structured-light-</w:t>
      </w:r>
      <w:r w:rsidRPr="0053431B">
        <w:rPr>
          <w:rFonts w:asciiTheme="majorHAnsi" w:hAnsiTheme="majorHAnsi" w:cstheme="majorHAnsi"/>
        </w:rPr>
        <w:lastRenderedPageBreak/>
        <w:t xml:space="preserve">based technologies. However, </w:t>
      </w:r>
      <w:r w:rsidR="008E061E">
        <w:rPr>
          <w:rFonts w:asciiTheme="majorHAnsi" w:hAnsiTheme="majorHAnsi" w:cstheme="majorHAnsi"/>
        </w:rPr>
        <w:t xml:space="preserve">there are fundamental and technical challenges in </w:t>
      </w:r>
      <w:r w:rsidRPr="0053431B">
        <w:rPr>
          <w:rFonts w:asciiTheme="majorHAnsi" w:hAnsiTheme="majorHAnsi" w:cstheme="majorHAnsi"/>
        </w:rPr>
        <w:t xml:space="preserve">conventional generation techniques. </w:t>
      </w:r>
      <w:r w:rsidR="008E061E">
        <w:rPr>
          <w:rFonts w:asciiTheme="majorHAnsi" w:hAnsiTheme="majorHAnsi" w:cstheme="majorHAnsi"/>
        </w:rPr>
        <w:t>Optical</w:t>
      </w:r>
      <w:r w:rsidR="002355B2" w:rsidRPr="0053431B">
        <w:rPr>
          <w:rFonts w:asciiTheme="majorHAnsi" w:hAnsiTheme="majorHAnsi" w:cstheme="majorHAnsi"/>
        </w:rPr>
        <w:t xml:space="preserve"> m</w:t>
      </w:r>
      <w:r w:rsidRPr="0053431B">
        <w:rPr>
          <w:rFonts w:asciiTheme="majorHAnsi" w:hAnsiTheme="majorHAnsi" w:cstheme="majorHAnsi"/>
        </w:rPr>
        <w:t>etasurface</w:t>
      </w:r>
      <w:r w:rsidR="00C27A4F">
        <w:rPr>
          <w:rFonts w:asciiTheme="majorHAnsi" w:hAnsiTheme="majorHAnsi" w:cstheme="majorHAnsi"/>
        </w:rPr>
        <w:t xml:space="preserve">s </w:t>
      </w:r>
      <w:r w:rsidRPr="0053431B">
        <w:rPr>
          <w:rFonts w:asciiTheme="majorHAnsi" w:hAnsiTheme="majorHAnsi" w:cstheme="majorHAnsi"/>
        </w:rPr>
        <w:t xml:space="preserve">provide a compact and versatile platform for the efficient generation and manipulation of complex </w:t>
      </w:r>
      <w:r w:rsidR="002355B2" w:rsidRPr="0053431B">
        <w:rPr>
          <w:rFonts w:asciiTheme="majorHAnsi" w:hAnsiTheme="majorHAnsi" w:cstheme="majorHAnsi"/>
        </w:rPr>
        <w:t>OVs</w:t>
      </w:r>
      <w:r w:rsidRPr="0053431B">
        <w:rPr>
          <w:rFonts w:asciiTheme="majorHAnsi" w:hAnsiTheme="majorHAnsi" w:cstheme="majorHAnsi"/>
        </w:rPr>
        <w:t xml:space="preserve"> through precise control of </w:t>
      </w:r>
      <w:r w:rsidR="009D1B5A" w:rsidRPr="0053431B">
        <w:rPr>
          <w:rFonts w:asciiTheme="majorHAnsi" w:hAnsiTheme="majorHAnsi" w:cstheme="majorHAnsi"/>
        </w:rPr>
        <w:t>light’s amplitude, phase and polarisation</w:t>
      </w:r>
      <w:r w:rsidRPr="0053431B">
        <w:rPr>
          <w:rFonts w:asciiTheme="majorHAnsi" w:hAnsiTheme="majorHAnsi" w:cstheme="majorHAnsi"/>
        </w:rPr>
        <w:t xml:space="preserve">. </w:t>
      </w:r>
      <w:r w:rsidR="002355B2" w:rsidRPr="0053431B">
        <w:rPr>
          <w:rFonts w:asciiTheme="majorHAnsi" w:hAnsiTheme="majorHAnsi" w:cstheme="majorHAnsi"/>
        </w:rPr>
        <w:t xml:space="preserve">In this presentation, I will highlight recent developments from our group on metasurface-enabled complex OVs. The talk will cover our recent contributions to the design, generation, and manipulation of </w:t>
      </w:r>
      <w:r w:rsidR="009D1B5A" w:rsidRPr="0053431B">
        <w:rPr>
          <w:rFonts w:asciiTheme="majorHAnsi" w:hAnsiTheme="majorHAnsi" w:cstheme="majorHAnsi"/>
        </w:rPr>
        <w:t>ince gaussian beam, multispectral Grafted OVs and OAM combs</w:t>
      </w:r>
      <w:r w:rsidR="002355B2" w:rsidRPr="0053431B">
        <w:rPr>
          <w:rFonts w:asciiTheme="majorHAnsi" w:hAnsiTheme="majorHAnsi" w:cstheme="majorHAnsi"/>
        </w:rPr>
        <w:t>, demonstrating how metasurface engineering enables compact, multifunctional, and highly integrated structured-light platforms for next-generation photonic technologies.</w:t>
      </w:r>
    </w:p>
    <w:sectPr w:rsidR="006E1803" w:rsidRPr="008E061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C834C61"/>
    <w:multiLevelType w:val="hybridMultilevel"/>
    <w:tmpl w:val="17AA3C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583239">
    <w:abstractNumId w:val="8"/>
  </w:num>
  <w:num w:numId="2" w16cid:durableId="2108693649">
    <w:abstractNumId w:val="6"/>
  </w:num>
  <w:num w:numId="3" w16cid:durableId="1145438291">
    <w:abstractNumId w:val="5"/>
  </w:num>
  <w:num w:numId="4" w16cid:durableId="1540706742">
    <w:abstractNumId w:val="4"/>
  </w:num>
  <w:num w:numId="5" w16cid:durableId="1858300704">
    <w:abstractNumId w:val="7"/>
  </w:num>
  <w:num w:numId="6" w16cid:durableId="1987008902">
    <w:abstractNumId w:val="3"/>
  </w:num>
  <w:num w:numId="7" w16cid:durableId="1639797863">
    <w:abstractNumId w:val="2"/>
  </w:num>
  <w:num w:numId="8" w16cid:durableId="2001692600">
    <w:abstractNumId w:val="1"/>
  </w:num>
  <w:num w:numId="9" w16cid:durableId="1463041778">
    <w:abstractNumId w:val="0"/>
  </w:num>
  <w:num w:numId="10" w16cid:durableId="11164122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D9"/>
    <w:rsid w:val="0001341F"/>
    <w:rsid w:val="00033285"/>
    <w:rsid w:val="00034616"/>
    <w:rsid w:val="0006063C"/>
    <w:rsid w:val="00071C07"/>
    <w:rsid w:val="00073F10"/>
    <w:rsid w:val="00086EE1"/>
    <w:rsid w:val="00093B18"/>
    <w:rsid w:val="000B6449"/>
    <w:rsid w:val="000E6B18"/>
    <w:rsid w:val="00113BFB"/>
    <w:rsid w:val="00136722"/>
    <w:rsid w:val="0015074B"/>
    <w:rsid w:val="00152970"/>
    <w:rsid w:val="00180083"/>
    <w:rsid w:val="001A3BA4"/>
    <w:rsid w:val="001B21C6"/>
    <w:rsid w:val="001E2588"/>
    <w:rsid w:val="002355B2"/>
    <w:rsid w:val="002950F6"/>
    <w:rsid w:val="0029639D"/>
    <w:rsid w:val="002A0822"/>
    <w:rsid w:val="002B060B"/>
    <w:rsid w:val="002B08AD"/>
    <w:rsid w:val="002D3FBC"/>
    <w:rsid w:val="002E3A9D"/>
    <w:rsid w:val="002F17DE"/>
    <w:rsid w:val="00303B43"/>
    <w:rsid w:val="003044BD"/>
    <w:rsid w:val="0031215E"/>
    <w:rsid w:val="00312426"/>
    <w:rsid w:val="00326F90"/>
    <w:rsid w:val="00351676"/>
    <w:rsid w:val="00386C39"/>
    <w:rsid w:val="003A7B40"/>
    <w:rsid w:val="003D31F1"/>
    <w:rsid w:val="003D6F97"/>
    <w:rsid w:val="003E3451"/>
    <w:rsid w:val="003F6CE6"/>
    <w:rsid w:val="004475AB"/>
    <w:rsid w:val="00472372"/>
    <w:rsid w:val="00485196"/>
    <w:rsid w:val="004A361E"/>
    <w:rsid w:val="004F4AD7"/>
    <w:rsid w:val="005155D1"/>
    <w:rsid w:val="00522FE5"/>
    <w:rsid w:val="0053431B"/>
    <w:rsid w:val="005358DC"/>
    <w:rsid w:val="00550D38"/>
    <w:rsid w:val="0058082E"/>
    <w:rsid w:val="005A6C1D"/>
    <w:rsid w:val="005B2D71"/>
    <w:rsid w:val="005E190E"/>
    <w:rsid w:val="006415F4"/>
    <w:rsid w:val="0064417E"/>
    <w:rsid w:val="00646BE8"/>
    <w:rsid w:val="00664CA0"/>
    <w:rsid w:val="006A1FC2"/>
    <w:rsid w:val="006E1803"/>
    <w:rsid w:val="007C3D61"/>
    <w:rsid w:val="007F236D"/>
    <w:rsid w:val="00823C07"/>
    <w:rsid w:val="00832CF1"/>
    <w:rsid w:val="0088010B"/>
    <w:rsid w:val="008E061E"/>
    <w:rsid w:val="008E5B18"/>
    <w:rsid w:val="008F51F2"/>
    <w:rsid w:val="00916164"/>
    <w:rsid w:val="0094108E"/>
    <w:rsid w:val="00950DAF"/>
    <w:rsid w:val="00951241"/>
    <w:rsid w:val="0098175F"/>
    <w:rsid w:val="009A330B"/>
    <w:rsid w:val="009D1B5A"/>
    <w:rsid w:val="00A46E19"/>
    <w:rsid w:val="00A55D41"/>
    <w:rsid w:val="00A712AC"/>
    <w:rsid w:val="00AA1D8D"/>
    <w:rsid w:val="00AB3BF5"/>
    <w:rsid w:val="00AB685C"/>
    <w:rsid w:val="00AB7C7E"/>
    <w:rsid w:val="00AD4295"/>
    <w:rsid w:val="00AD4AB3"/>
    <w:rsid w:val="00AF148A"/>
    <w:rsid w:val="00B1031B"/>
    <w:rsid w:val="00B22674"/>
    <w:rsid w:val="00B47730"/>
    <w:rsid w:val="00B52318"/>
    <w:rsid w:val="00B943BD"/>
    <w:rsid w:val="00B962A2"/>
    <w:rsid w:val="00BA25F6"/>
    <w:rsid w:val="00BD0CB5"/>
    <w:rsid w:val="00BE7A18"/>
    <w:rsid w:val="00C1325F"/>
    <w:rsid w:val="00C14573"/>
    <w:rsid w:val="00C27A4F"/>
    <w:rsid w:val="00C50200"/>
    <w:rsid w:val="00C82F40"/>
    <w:rsid w:val="00CB0664"/>
    <w:rsid w:val="00CB0CB8"/>
    <w:rsid w:val="00D25983"/>
    <w:rsid w:val="00D56469"/>
    <w:rsid w:val="00DB068D"/>
    <w:rsid w:val="00DB15AF"/>
    <w:rsid w:val="00E00BE1"/>
    <w:rsid w:val="00E128EC"/>
    <w:rsid w:val="00E263DC"/>
    <w:rsid w:val="00E52923"/>
    <w:rsid w:val="00E56BAD"/>
    <w:rsid w:val="00E86E3F"/>
    <w:rsid w:val="00EC7869"/>
    <w:rsid w:val="00EF0832"/>
    <w:rsid w:val="00EF7C3E"/>
    <w:rsid w:val="00F43953"/>
    <w:rsid w:val="00F86072"/>
    <w:rsid w:val="00FA3618"/>
    <w:rsid w:val="00FA4233"/>
    <w:rsid w:val="00FC693F"/>
    <w:rsid w:val="00FE1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ACCF0"/>
  <w14:defaultImageDpi w14:val="300"/>
  <w15:docId w15:val="{FDF07B93-928C-4A8E-B273-A2136CA9A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CWITitle">
    <w:name w:val="CCWITitle"/>
    <w:basedOn w:val="Normal"/>
    <w:rsid w:val="00D56469"/>
    <w:pPr>
      <w:suppressAutoHyphens/>
      <w:spacing w:after="0" w:line="240" w:lineRule="auto"/>
      <w:jc w:val="center"/>
    </w:pPr>
    <w:rPr>
      <w:rFonts w:ascii="Times New Roman" w:eastAsia="DengXian" w:hAnsi="Times New Roman" w:cs="Times New Roman"/>
      <w:sz w:val="20"/>
      <w:szCs w:val="20"/>
    </w:rPr>
  </w:style>
  <w:style w:type="paragraph" w:customStyle="1" w:styleId="CCWIAuthors">
    <w:name w:val="CCWIAuthors"/>
    <w:basedOn w:val="Normal"/>
    <w:rsid w:val="00D56469"/>
    <w:pPr>
      <w:suppressAutoHyphens/>
      <w:spacing w:after="0" w:line="240" w:lineRule="auto"/>
      <w:jc w:val="center"/>
    </w:pPr>
    <w:rPr>
      <w:rFonts w:ascii="Times New Roman" w:eastAsia="DengXian" w:hAnsi="Times New Roman" w:cs="Times New Roman"/>
      <w:b/>
      <w:bCs/>
      <w:sz w:val="20"/>
      <w:szCs w:val="20"/>
    </w:rPr>
  </w:style>
  <w:style w:type="character" w:styleId="Hyperlink">
    <w:name w:val="Hyperlink"/>
    <w:basedOn w:val="DefaultParagraphFont"/>
    <w:uiPriority w:val="99"/>
    <w:unhideWhenUsed/>
    <w:rsid w:val="00B962A2"/>
    <w:rPr>
      <w:color w:val="0000FF" w:themeColor="hyperlink"/>
      <w:u w:val="single"/>
    </w:rPr>
  </w:style>
  <w:style w:type="character" w:styleId="UnresolvedMention">
    <w:name w:val="Unresolved Mention"/>
    <w:basedOn w:val="DefaultParagraphFont"/>
    <w:uiPriority w:val="99"/>
    <w:semiHidden/>
    <w:unhideWhenUsed/>
    <w:rsid w:val="00B96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arco.abbarchi@solnil.com" TargetMode="External"/><Relationship Id="rId3" Type="http://schemas.openxmlformats.org/officeDocument/2006/relationships/styles" Target="styles.xml"/><Relationship Id="rId7" Type="http://schemas.openxmlformats.org/officeDocument/2006/relationships/hyperlink" Target="mailto:jsrho@postech.ac.kr" TargetMode="External"/><Relationship Id="rId12" Type="http://schemas.openxmlformats.org/officeDocument/2006/relationships/hyperlink" Target="mailto:x.chen@hw.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adf10@st-andrews.ac.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ei.xu@ntu.ac.uk" TargetMode="External"/><Relationship Id="rId4" Type="http://schemas.openxmlformats.org/officeDocument/2006/relationships/settings" Target="settings.xml"/><Relationship Id="rId9" Type="http://schemas.openxmlformats.org/officeDocument/2006/relationships/hyperlink" Target="mailto:C.C.Liu@exeter.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7</Pages>
  <Words>2399</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Hammad</dc:creator>
  <cp:keywords/>
  <dc:description/>
  <cp:lastModifiedBy>Ahmed, Hammad</cp:lastModifiedBy>
  <cp:revision>56</cp:revision>
  <cp:lastPrinted>2026-03-09T11:12:00Z</cp:lastPrinted>
  <dcterms:created xsi:type="dcterms:W3CDTF">2026-06-29T07:48:00Z</dcterms:created>
  <dcterms:modified xsi:type="dcterms:W3CDTF">2026-09-08T11:08:00Z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1549372a-5e60-4e74-954e-83397f695b3f</vt:lpwstr>
  </property>
</Properties>
</file>